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51517935" w:rsidR="00083B1B" w:rsidRPr="00083B1B" w:rsidRDefault="000B42B7" w:rsidP="00D86B34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</w:t>
            </w:r>
            <w:r w:rsidR="00D86B34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les locaux de </w:t>
            </w:r>
            <w:r w:rsidR="00B55602">
              <w:rPr>
                <w:rFonts w:ascii="Arial" w:eastAsia="Arial" w:hAnsi="Arial" w:cs="Arial"/>
                <w:b/>
                <w:color w:val="000000"/>
                <w:sz w:val="28"/>
              </w:rPr>
              <w:t>l’Institut Universitaire en Technologie de Vélizy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5BEA6209" w:rsidR="00D36BBB" w:rsidRPr="00D86B34" w:rsidRDefault="00B55602" w:rsidP="00D86B3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AOT2022-03</w:t>
      </w:r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310517F6" w:rsidR="00B50F94" w:rsidRPr="00B65F31" w:rsidRDefault="00D86B34" w:rsidP="008A78F0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</w:t>
          </w:r>
          <w:r w:rsidR="00B55602">
            <w:rPr>
              <w:rFonts w:ascii="Arial" w:hAnsi="Arial" w:cs="Arial"/>
              <w:b/>
              <w:sz w:val="18"/>
              <w:szCs w:val="18"/>
            </w:rPr>
            <w:t>OT2022-03</w:t>
          </w:r>
          <w:r w:rsidR="008A78F0">
            <w:rPr>
              <w:rFonts w:ascii="Arial" w:hAnsi="Arial" w:cs="Arial"/>
              <w:b/>
              <w:sz w:val="18"/>
              <w:szCs w:val="18"/>
            </w:rPr>
            <w:t>/</w:t>
          </w:r>
          <w:r w:rsidRPr="00D86B34">
            <w:rPr>
              <w:rFonts w:ascii="Arial" w:hAnsi="Arial" w:cs="Arial"/>
              <w:b/>
              <w:sz w:val="18"/>
              <w:szCs w:val="18"/>
            </w:rPr>
            <w:t xml:space="preserve">Autorisation d’occupation temporaire du domaine public pour les locaux de </w:t>
          </w:r>
          <w:r w:rsidR="00B55602" w:rsidRPr="00B55602">
            <w:rPr>
              <w:rFonts w:ascii="Arial" w:hAnsi="Arial" w:cs="Arial"/>
              <w:b/>
              <w:sz w:val="18"/>
              <w:szCs w:val="18"/>
            </w:rPr>
            <w:t>l’Institut Universitaire en Technologie de Vélizy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85213" w:rsidRPr="00C85213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4DA0"/>
    <w:rsid w:val="001C117A"/>
    <w:rsid w:val="001C7227"/>
    <w:rsid w:val="001F5D0C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355B2"/>
    <w:rsid w:val="00567FAA"/>
    <w:rsid w:val="005C105B"/>
    <w:rsid w:val="00635EED"/>
    <w:rsid w:val="006679D2"/>
    <w:rsid w:val="00676A84"/>
    <w:rsid w:val="00692546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A78F0"/>
    <w:rsid w:val="008C667D"/>
    <w:rsid w:val="008D0E98"/>
    <w:rsid w:val="008E4A7A"/>
    <w:rsid w:val="00901AE3"/>
    <w:rsid w:val="00931018"/>
    <w:rsid w:val="009A2C65"/>
    <w:rsid w:val="009C2CFB"/>
    <w:rsid w:val="00A42D4B"/>
    <w:rsid w:val="00A46293"/>
    <w:rsid w:val="00A81BA5"/>
    <w:rsid w:val="00AB26FE"/>
    <w:rsid w:val="00AE640A"/>
    <w:rsid w:val="00B3391B"/>
    <w:rsid w:val="00B33AF5"/>
    <w:rsid w:val="00B47B2B"/>
    <w:rsid w:val="00B50F94"/>
    <w:rsid w:val="00B55602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85213"/>
    <w:rsid w:val="00CA3551"/>
    <w:rsid w:val="00CF2D26"/>
    <w:rsid w:val="00D244C3"/>
    <w:rsid w:val="00D36BBB"/>
    <w:rsid w:val="00D82162"/>
    <w:rsid w:val="00D86B34"/>
    <w:rsid w:val="00D873FE"/>
    <w:rsid w:val="00DB3F2D"/>
    <w:rsid w:val="00DD4DE8"/>
    <w:rsid w:val="00E02C1A"/>
    <w:rsid w:val="00E06230"/>
    <w:rsid w:val="00E214C0"/>
    <w:rsid w:val="00E262FD"/>
    <w:rsid w:val="00E60BBA"/>
    <w:rsid w:val="00E84810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Pascal LEPRÊTRE</cp:lastModifiedBy>
  <cp:revision>2</cp:revision>
  <cp:lastPrinted>2018-10-02T18:20:00Z</cp:lastPrinted>
  <dcterms:created xsi:type="dcterms:W3CDTF">2022-02-04T08:32:00Z</dcterms:created>
  <dcterms:modified xsi:type="dcterms:W3CDTF">2022-02-04T08:32:00Z</dcterms:modified>
</cp:coreProperties>
</file>