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4629"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
          <w:sz w:val="22"/>
          <w:szCs w:val="22"/>
        </w:rPr>
      </w:pPr>
      <w:r w:rsidRPr="008A71E6">
        <w:rPr>
          <w:rFonts w:asciiTheme="minorHAnsi" w:hAnsiTheme="minorHAnsi" w:cstheme="minorHAnsi"/>
          <w:b/>
          <w:sz w:val="22"/>
          <w:szCs w:val="22"/>
        </w:rPr>
        <w:t>Corps : Technicien (TECH)</w:t>
      </w:r>
    </w:p>
    <w:p w14:paraId="48F471FA" w14:textId="64FCC70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sz w:val="22"/>
          <w:szCs w:val="22"/>
        </w:rPr>
      </w:pPr>
      <w:r w:rsidRPr="008A71E6">
        <w:rPr>
          <w:rFonts w:asciiTheme="minorHAnsi" w:hAnsiTheme="minorHAnsi" w:cstheme="minorHAnsi"/>
          <w:b/>
          <w:sz w:val="22"/>
          <w:szCs w:val="22"/>
        </w:rPr>
        <w:t xml:space="preserve">Nature du concours : </w:t>
      </w:r>
      <w:r w:rsidR="003C4EB4">
        <w:rPr>
          <w:rFonts w:asciiTheme="minorHAnsi" w:hAnsiTheme="minorHAnsi" w:cstheme="minorHAnsi"/>
          <w:b/>
          <w:sz w:val="22"/>
          <w:szCs w:val="22"/>
        </w:rPr>
        <w:t>Externe</w:t>
      </w:r>
    </w:p>
    <w:p w14:paraId="64C570EA"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sz w:val="22"/>
          <w:szCs w:val="22"/>
        </w:rPr>
      </w:pPr>
    </w:p>
    <w:p w14:paraId="0589ACD5"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Cs/>
          <w:sz w:val="22"/>
          <w:szCs w:val="22"/>
        </w:rPr>
      </w:pPr>
      <w:r w:rsidRPr="008A71E6">
        <w:rPr>
          <w:rFonts w:asciiTheme="minorHAnsi" w:hAnsiTheme="minorHAnsi" w:cstheme="minorHAnsi"/>
          <w:b/>
          <w:sz w:val="22"/>
          <w:szCs w:val="22"/>
        </w:rPr>
        <w:t>Branche d’activité professionnelle (BAP) </w:t>
      </w:r>
      <w:r w:rsidRPr="008A71E6">
        <w:rPr>
          <w:rFonts w:asciiTheme="minorHAnsi" w:hAnsiTheme="minorHAnsi" w:cstheme="minorHAnsi"/>
          <w:sz w:val="22"/>
          <w:szCs w:val="22"/>
        </w:rPr>
        <w:t>: J - Gestion et Pilotage</w:t>
      </w:r>
    </w:p>
    <w:p w14:paraId="0DB82978"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Cs/>
          <w:sz w:val="22"/>
          <w:szCs w:val="22"/>
        </w:rPr>
      </w:pPr>
      <w:r w:rsidRPr="008A71E6">
        <w:rPr>
          <w:rFonts w:asciiTheme="minorHAnsi" w:hAnsiTheme="minorHAnsi" w:cstheme="minorHAnsi"/>
          <w:b/>
          <w:sz w:val="22"/>
          <w:szCs w:val="22"/>
        </w:rPr>
        <w:t>Famille professionnelle</w:t>
      </w:r>
      <w:r w:rsidRPr="008A71E6">
        <w:rPr>
          <w:rFonts w:asciiTheme="minorHAnsi" w:hAnsiTheme="minorHAnsi" w:cstheme="minorHAnsi"/>
          <w:sz w:val="22"/>
          <w:szCs w:val="22"/>
        </w:rPr>
        <w:t xml:space="preserve"> : </w:t>
      </w:r>
      <w:r>
        <w:rPr>
          <w:rFonts w:asciiTheme="minorHAnsi" w:hAnsiTheme="minorHAnsi" w:cstheme="minorHAnsi"/>
          <w:bCs/>
          <w:sz w:val="22"/>
          <w:szCs w:val="22"/>
        </w:rPr>
        <w:t>Gestion financière et comptable</w:t>
      </w:r>
    </w:p>
    <w:p w14:paraId="6D1B9C02"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sz w:val="22"/>
          <w:szCs w:val="22"/>
        </w:rPr>
      </w:pPr>
      <w:r w:rsidRPr="008A71E6">
        <w:rPr>
          <w:rFonts w:asciiTheme="minorHAnsi" w:hAnsiTheme="minorHAnsi" w:cstheme="minorHAnsi"/>
          <w:b/>
          <w:sz w:val="22"/>
          <w:szCs w:val="22"/>
        </w:rPr>
        <w:t>Emploi type</w:t>
      </w:r>
      <w:r w:rsidRPr="008A71E6">
        <w:rPr>
          <w:rFonts w:asciiTheme="minorHAnsi" w:hAnsiTheme="minorHAnsi" w:cstheme="minorHAnsi"/>
          <w:sz w:val="22"/>
          <w:szCs w:val="22"/>
        </w:rPr>
        <w:t xml:space="preserve"> : </w:t>
      </w:r>
      <w:r>
        <w:rPr>
          <w:rFonts w:asciiTheme="minorHAnsi" w:hAnsiTheme="minorHAnsi" w:cstheme="minorHAnsi"/>
          <w:sz w:val="22"/>
          <w:szCs w:val="22"/>
        </w:rPr>
        <w:t>J4E44</w:t>
      </w:r>
      <w:r w:rsidRPr="008A71E6">
        <w:rPr>
          <w:rFonts w:asciiTheme="minorHAnsi" w:hAnsiTheme="minorHAnsi" w:cstheme="minorHAnsi"/>
          <w:sz w:val="22"/>
          <w:szCs w:val="22"/>
        </w:rPr>
        <w:t xml:space="preserve"> – </w:t>
      </w:r>
      <w:r>
        <w:rPr>
          <w:rFonts w:asciiTheme="minorHAnsi" w:hAnsiTheme="minorHAnsi" w:cstheme="minorHAnsi"/>
          <w:sz w:val="22"/>
          <w:szCs w:val="22"/>
        </w:rPr>
        <w:t xml:space="preserve">Gestionnaire </w:t>
      </w:r>
      <w:bookmarkStart w:id="0" w:name="_Hlk125983379"/>
      <w:r>
        <w:rPr>
          <w:rFonts w:asciiTheme="minorHAnsi" w:hAnsiTheme="minorHAnsi" w:cstheme="minorHAnsi"/>
          <w:sz w:val="22"/>
          <w:szCs w:val="22"/>
        </w:rPr>
        <w:t>financier·ière</w:t>
      </w:r>
      <w:bookmarkEnd w:id="0"/>
      <w:r>
        <w:rPr>
          <w:rFonts w:asciiTheme="minorHAnsi" w:hAnsiTheme="minorHAnsi" w:cstheme="minorHAnsi"/>
          <w:sz w:val="22"/>
          <w:szCs w:val="22"/>
        </w:rPr>
        <w:t xml:space="preserve"> et comptable</w:t>
      </w:r>
    </w:p>
    <w:p w14:paraId="573CFA80"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sz w:val="22"/>
          <w:szCs w:val="22"/>
        </w:rPr>
      </w:pPr>
    </w:p>
    <w:p w14:paraId="5962F16A"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
          <w:sz w:val="22"/>
          <w:szCs w:val="22"/>
        </w:rPr>
      </w:pPr>
      <w:r w:rsidRPr="008A71E6">
        <w:rPr>
          <w:rFonts w:asciiTheme="minorHAnsi" w:hAnsiTheme="minorHAnsi" w:cstheme="minorHAnsi"/>
          <w:b/>
          <w:sz w:val="22"/>
          <w:szCs w:val="22"/>
        </w:rPr>
        <w:t xml:space="preserve">Nombre de postes </w:t>
      </w:r>
      <w:r>
        <w:rPr>
          <w:rFonts w:asciiTheme="minorHAnsi" w:hAnsiTheme="minorHAnsi" w:cstheme="minorHAnsi"/>
          <w:b/>
          <w:sz w:val="22"/>
          <w:szCs w:val="22"/>
        </w:rPr>
        <w:t>ouverts</w:t>
      </w:r>
      <w:r w:rsidRPr="008A71E6">
        <w:rPr>
          <w:rFonts w:asciiTheme="minorHAnsi" w:hAnsiTheme="minorHAnsi" w:cstheme="minorHAnsi"/>
          <w:b/>
          <w:sz w:val="22"/>
          <w:szCs w:val="22"/>
        </w:rPr>
        <w:t> : 1</w:t>
      </w:r>
    </w:p>
    <w:p w14:paraId="43D46572"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
          <w:sz w:val="22"/>
          <w:szCs w:val="22"/>
        </w:rPr>
      </w:pPr>
    </w:p>
    <w:p w14:paraId="46449C82"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
          <w:sz w:val="22"/>
          <w:szCs w:val="22"/>
        </w:rPr>
      </w:pPr>
      <w:r w:rsidRPr="008A71E6">
        <w:rPr>
          <w:rFonts w:asciiTheme="minorHAnsi" w:hAnsiTheme="minorHAnsi" w:cstheme="minorHAnsi"/>
          <w:b/>
          <w:sz w:val="22"/>
          <w:szCs w:val="22"/>
        </w:rPr>
        <w:t xml:space="preserve">Intitulé du poste : Gestionnaire </w:t>
      </w:r>
      <w:r>
        <w:rPr>
          <w:rFonts w:asciiTheme="minorHAnsi" w:hAnsiTheme="minorHAnsi" w:cstheme="minorHAnsi"/>
          <w:b/>
          <w:sz w:val="22"/>
          <w:szCs w:val="22"/>
        </w:rPr>
        <w:t>financier·e et comptable</w:t>
      </w:r>
      <w:r w:rsidRPr="008A71E6">
        <w:rPr>
          <w:rFonts w:asciiTheme="minorHAnsi" w:hAnsiTheme="minorHAnsi" w:cstheme="minorHAnsi"/>
          <w:b/>
          <w:sz w:val="22"/>
          <w:szCs w:val="22"/>
        </w:rPr>
        <w:t xml:space="preserve"> H/F</w:t>
      </w:r>
    </w:p>
    <w:p w14:paraId="5134F5C0"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color w:val="000000"/>
          <w:sz w:val="22"/>
          <w:szCs w:val="22"/>
        </w:rPr>
      </w:pPr>
      <w:r w:rsidRPr="008A71E6">
        <w:rPr>
          <w:rFonts w:asciiTheme="minorHAnsi" w:hAnsiTheme="minorHAnsi" w:cstheme="minorHAnsi"/>
          <w:b/>
          <w:sz w:val="22"/>
          <w:szCs w:val="22"/>
        </w:rPr>
        <w:t>Localisation du poste</w:t>
      </w:r>
      <w:r w:rsidRPr="008A71E6">
        <w:rPr>
          <w:rFonts w:asciiTheme="minorHAnsi" w:hAnsiTheme="minorHAnsi" w:cstheme="minorHAnsi"/>
          <w:sz w:val="22"/>
          <w:szCs w:val="22"/>
        </w:rPr>
        <w:t xml:space="preserve"> : </w:t>
      </w:r>
      <w:r w:rsidRPr="008A71E6">
        <w:rPr>
          <w:rFonts w:asciiTheme="minorHAnsi" w:hAnsiTheme="minorHAnsi" w:cstheme="minorHAnsi"/>
          <w:color w:val="000000"/>
          <w:sz w:val="22"/>
          <w:szCs w:val="22"/>
        </w:rPr>
        <w:t>École des Hautes Etudes en Sciences Sociales – PARIS</w:t>
      </w:r>
      <w:r>
        <w:rPr>
          <w:rFonts w:asciiTheme="minorHAnsi" w:hAnsiTheme="minorHAnsi" w:cstheme="minorHAnsi"/>
          <w:color w:val="000000"/>
          <w:sz w:val="22"/>
          <w:szCs w:val="22"/>
        </w:rPr>
        <w:t xml:space="preserve"> &amp; AUBERVILLIERS</w:t>
      </w:r>
    </w:p>
    <w:p w14:paraId="77C4AE5F"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Cs/>
          <w:color w:val="000000"/>
          <w:sz w:val="22"/>
          <w:szCs w:val="22"/>
        </w:rPr>
      </w:pPr>
      <w:r w:rsidRPr="008A71E6">
        <w:rPr>
          <w:rFonts w:asciiTheme="minorHAnsi" w:hAnsiTheme="minorHAnsi" w:cstheme="minorHAnsi"/>
          <w:b/>
          <w:bCs/>
          <w:color w:val="000000"/>
          <w:sz w:val="22"/>
          <w:szCs w:val="22"/>
        </w:rPr>
        <w:t xml:space="preserve">Affectation </w:t>
      </w:r>
      <w:r w:rsidRPr="008A71E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Services Centraux et/ou Unités Mixtes de Recherche</w:t>
      </w:r>
    </w:p>
    <w:p w14:paraId="4F627ABB" w14:textId="77777777" w:rsidR="00647534" w:rsidRPr="008A71E6"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Cs/>
          <w:color w:val="000000"/>
          <w:sz w:val="22"/>
          <w:szCs w:val="22"/>
        </w:rPr>
      </w:pPr>
    </w:p>
    <w:p w14:paraId="100B3A78" w14:textId="77777777" w:rsidR="00647534" w:rsidRPr="004B21AC" w:rsidRDefault="00647534" w:rsidP="00647534">
      <w:pPr>
        <w:pBdr>
          <w:top w:val="single" w:sz="12" w:space="1" w:color="auto"/>
          <w:left w:val="single" w:sz="12" w:space="4" w:color="auto"/>
          <w:bottom w:val="single" w:sz="12" w:space="1" w:color="auto"/>
          <w:right w:val="single" w:sz="12" w:space="4" w:color="auto"/>
        </w:pBdr>
        <w:rPr>
          <w:rFonts w:asciiTheme="minorHAnsi" w:hAnsiTheme="minorHAnsi" w:cstheme="minorHAnsi"/>
          <w:bCs/>
          <w:color w:val="000000"/>
          <w:sz w:val="22"/>
          <w:szCs w:val="22"/>
        </w:rPr>
      </w:pPr>
      <w:r w:rsidRPr="004B21AC">
        <w:rPr>
          <w:rFonts w:asciiTheme="minorHAnsi" w:hAnsiTheme="minorHAnsi" w:cstheme="minorHAnsi"/>
          <w:b/>
          <w:bCs/>
          <w:color w:val="000000"/>
          <w:sz w:val="22"/>
          <w:szCs w:val="22"/>
        </w:rPr>
        <w:t xml:space="preserve">Préinscription (demande du dossier de candidature) sur internet : </w:t>
      </w:r>
      <w:hyperlink r:id="rId7" w:history="1">
        <w:r w:rsidRPr="004B21AC">
          <w:rPr>
            <w:rStyle w:val="Lienhypertexte"/>
            <w:rFonts w:asciiTheme="minorHAnsi" w:hAnsiTheme="minorHAnsi" w:cstheme="minorHAnsi"/>
            <w:sz w:val="22"/>
            <w:szCs w:val="22"/>
          </w:rPr>
          <w:t>https://www.itrf.education.gouv.fr/itrf/</w:t>
        </w:r>
      </w:hyperlink>
      <w:r w:rsidRPr="004B21AC">
        <w:rPr>
          <w:rFonts w:asciiTheme="minorHAnsi" w:hAnsiTheme="minorHAnsi" w:cstheme="minorHAnsi"/>
          <w:sz w:val="22"/>
          <w:szCs w:val="22"/>
        </w:rPr>
        <w:t xml:space="preserve"> </w:t>
      </w:r>
    </w:p>
    <w:p w14:paraId="19CEBB9A" w14:textId="77777777" w:rsidR="00647534" w:rsidRDefault="00647534" w:rsidP="00647534"/>
    <w:p w14:paraId="2AFFCAA7" w14:textId="77777777" w:rsidR="00647534" w:rsidRPr="00C52032" w:rsidRDefault="00647534" w:rsidP="00647534">
      <w:pPr>
        <w:pStyle w:val="Corpsdetexte"/>
        <w:rPr>
          <w:rFonts w:asciiTheme="minorHAnsi" w:hAnsiTheme="minorHAnsi" w:cstheme="minorHAnsi"/>
          <w:b/>
          <w:color w:val="00B9AF"/>
          <w:sz w:val="22"/>
          <w:szCs w:val="22"/>
        </w:rPr>
      </w:pPr>
      <w:r w:rsidRPr="00C52032">
        <w:rPr>
          <w:rFonts w:asciiTheme="minorHAnsi" w:hAnsiTheme="minorHAnsi" w:cstheme="minorHAnsi"/>
          <w:b/>
          <w:color w:val="00B9AF"/>
          <w:sz w:val="22"/>
          <w:szCs w:val="22"/>
        </w:rPr>
        <w:t>ENVIRONNEMENT ET CONTEXTE DE TRAVAIL</w:t>
      </w:r>
    </w:p>
    <w:p w14:paraId="320E3BFD" w14:textId="77777777" w:rsidR="00647534" w:rsidRDefault="00647534" w:rsidP="00647534">
      <w:pPr>
        <w:spacing w:before="100" w:beforeAutospacing="1" w:after="100" w:afterAutospacing="1"/>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rPr>
        <w:t>L'Ecole des hautes études en sciences sociales (</w:t>
      </w:r>
      <w:hyperlink r:id="rId8" w:history="1">
        <w:r>
          <w:rPr>
            <w:rStyle w:val="Lienhypertexte"/>
            <w:rFonts w:asciiTheme="minorHAnsi" w:hAnsiTheme="minorHAnsi" w:cstheme="minorHAnsi"/>
            <w:sz w:val="22"/>
            <w:szCs w:val="22"/>
          </w:rPr>
          <w:t>www.ehess.fr</w:t>
        </w:r>
      </w:hyperlink>
      <w:r>
        <w:rPr>
          <w:rFonts w:asciiTheme="minorHAnsi" w:hAnsiTheme="minorHAnsi" w:cstheme="minorHAnsi"/>
          <w:color w:val="000000"/>
          <w:sz w:val="22"/>
          <w:szCs w:val="22"/>
        </w:rPr>
        <w:t xml:space="preserve">) est un établissement public à caractère scientifique, culturel et professionnel, « grand établissement » assurant une mission de recherche dans le domaine des sciences humaines et sociales et de formation à la recherche. L'établissement accueille 3 000 étudiants </w:t>
      </w:r>
      <w:r>
        <w:rPr>
          <w:rFonts w:asciiTheme="minorHAnsi" w:hAnsiTheme="minorHAnsi" w:cstheme="minorHAnsi"/>
          <w:sz w:val="22"/>
          <w:szCs w:val="22"/>
        </w:rPr>
        <w:t xml:space="preserve">dont 1 300 </w:t>
      </w:r>
      <w:r>
        <w:rPr>
          <w:rFonts w:asciiTheme="minorHAnsi" w:hAnsiTheme="minorHAnsi" w:cstheme="minorHAnsi"/>
          <w:color w:val="000000"/>
          <w:sz w:val="22"/>
          <w:szCs w:val="22"/>
        </w:rPr>
        <w:t xml:space="preserve">doctorants (avec </w:t>
      </w:r>
      <w:r>
        <w:rPr>
          <w:rFonts w:asciiTheme="minorHAnsi" w:hAnsiTheme="minorHAnsi" w:cstheme="minorHAnsi"/>
          <w:sz w:val="22"/>
          <w:szCs w:val="22"/>
        </w:rPr>
        <w:t xml:space="preserve">près de 200 thèses </w:t>
      </w:r>
      <w:r>
        <w:rPr>
          <w:rFonts w:asciiTheme="minorHAnsi" w:hAnsiTheme="minorHAnsi" w:cstheme="minorHAnsi"/>
          <w:color w:val="000000"/>
          <w:sz w:val="22"/>
          <w:szCs w:val="22"/>
        </w:rPr>
        <w:t>soutenues par an dans toutes les disciplines des sciences sociales) et autant de masterants. L’EHESS accueille également 40 unités de recherche organisées autour d'un domaine, d'une approche ou, pour un tiers d'entre elles, d'une « aire culturelle ». En leur sein, plus de 500 enseignants et chercheurs développent les savoirs, forment et encadrent les étudiants de master et les doctorants. Ils sont soutenus par près de 250 personnels administratifs et d’appui technique à la recherche.</w:t>
      </w:r>
    </w:p>
    <w:p w14:paraId="67203226" w14:textId="77777777" w:rsidR="00647534" w:rsidRPr="00C52032" w:rsidRDefault="00647534" w:rsidP="00647534">
      <w:pPr>
        <w:autoSpaceDE w:val="0"/>
        <w:autoSpaceDN w:val="0"/>
        <w:adjustRightInd w:val="0"/>
        <w:jc w:val="both"/>
        <w:rPr>
          <w:rFonts w:asciiTheme="minorHAnsi" w:hAnsiTheme="minorHAnsi" w:cstheme="minorHAnsi"/>
          <w:sz w:val="22"/>
          <w:szCs w:val="22"/>
        </w:rPr>
      </w:pPr>
      <w:r w:rsidRPr="00C52032">
        <w:rPr>
          <w:rFonts w:asciiTheme="minorHAnsi" w:hAnsiTheme="minorHAnsi" w:cstheme="minorHAnsi"/>
          <w:sz w:val="22"/>
          <w:szCs w:val="22"/>
        </w:rPr>
        <w:t>L’École est membre fondateur de l’Etablissement public Campus Condorcet.</w:t>
      </w:r>
    </w:p>
    <w:p w14:paraId="5930C275" w14:textId="77777777" w:rsidR="00647534" w:rsidRPr="00C52032" w:rsidRDefault="00647534" w:rsidP="00647534">
      <w:pPr>
        <w:rPr>
          <w:rFonts w:asciiTheme="minorHAnsi" w:hAnsiTheme="minorHAnsi" w:cstheme="minorHAnsi"/>
          <w:color w:val="000000"/>
        </w:rPr>
      </w:pPr>
    </w:p>
    <w:p w14:paraId="3EA0D680" w14:textId="77777777" w:rsidR="00647534" w:rsidRDefault="00647534" w:rsidP="00647534">
      <w:pPr>
        <w:autoSpaceDE w:val="0"/>
        <w:autoSpaceDN w:val="0"/>
        <w:adjustRightInd w:val="0"/>
        <w:jc w:val="both"/>
        <w:rPr>
          <w:rFonts w:ascii="CIDFont+F1" w:eastAsiaTheme="minorHAnsi" w:hAnsi="CIDFont+F1" w:cs="CIDFont+F1"/>
          <w:sz w:val="22"/>
          <w:szCs w:val="22"/>
          <w:lang w:eastAsia="en-US"/>
        </w:rPr>
      </w:pPr>
      <w:r>
        <w:rPr>
          <w:rFonts w:ascii="CIDFont+F1" w:eastAsiaTheme="minorHAnsi" w:hAnsi="CIDFont+F1" w:cs="CIDFont+F1"/>
          <w:sz w:val="22"/>
          <w:szCs w:val="22"/>
          <w:lang w:eastAsia="en-US"/>
        </w:rPr>
        <w:t>L’organisation financière et comptable est organisée autour d’une direction des affaires financières (DAF) et d’une agence comptable. La DAF coordonne actuellement quatre plateformes de gestion ordonnateur, le service du pilotage de la dépense et trois autres services partagés.</w:t>
      </w:r>
    </w:p>
    <w:p w14:paraId="3B51B7BB" w14:textId="77777777" w:rsidR="00647534" w:rsidRPr="00C52032" w:rsidRDefault="00647534" w:rsidP="00647534">
      <w:pPr>
        <w:pStyle w:val="Default"/>
        <w:rPr>
          <w:rFonts w:asciiTheme="minorHAnsi" w:hAnsiTheme="minorHAnsi" w:cstheme="minorHAnsi"/>
          <w:bCs/>
          <w:sz w:val="22"/>
          <w:szCs w:val="22"/>
          <w:lang w:eastAsia="ar-SA"/>
        </w:rPr>
      </w:pPr>
    </w:p>
    <w:p w14:paraId="4902427F" w14:textId="77777777" w:rsidR="00647534" w:rsidRDefault="00647534" w:rsidP="00647534">
      <w:pPr>
        <w:pStyle w:val="Corpsdetexte"/>
        <w:snapToGrid w:val="0"/>
        <w:rPr>
          <w:rFonts w:asciiTheme="minorHAnsi" w:hAnsiTheme="minorHAnsi" w:cstheme="minorHAnsi"/>
          <w:b/>
          <w:color w:val="00B9AF"/>
          <w:sz w:val="22"/>
          <w:szCs w:val="22"/>
        </w:rPr>
      </w:pPr>
      <w:r w:rsidRPr="00C52032">
        <w:rPr>
          <w:rFonts w:asciiTheme="minorHAnsi" w:hAnsiTheme="minorHAnsi" w:cstheme="minorHAnsi"/>
          <w:b/>
          <w:color w:val="00B9AF"/>
          <w:sz w:val="22"/>
          <w:szCs w:val="22"/>
        </w:rPr>
        <w:t xml:space="preserve">MISSIONS </w:t>
      </w:r>
    </w:p>
    <w:p w14:paraId="76BDD980" w14:textId="77777777" w:rsidR="00647534" w:rsidRPr="00DF37CD" w:rsidRDefault="00647534" w:rsidP="00647534">
      <w:pPr>
        <w:pStyle w:val="Corpsdetexte"/>
        <w:snapToGrid w:val="0"/>
        <w:rPr>
          <w:rFonts w:asciiTheme="minorHAnsi" w:hAnsiTheme="minorHAnsi" w:cstheme="minorHAnsi"/>
          <w:b/>
          <w:color w:val="00B9AF"/>
          <w:sz w:val="22"/>
          <w:szCs w:val="22"/>
        </w:rPr>
      </w:pPr>
    </w:p>
    <w:p w14:paraId="6C4DFBC2" w14:textId="77777777" w:rsidR="00647534" w:rsidRDefault="00647534" w:rsidP="00647534">
      <w:pPr>
        <w:autoSpaceDE w:val="0"/>
        <w:autoSpaceDN w:val="0"/>
        <w:adjustRightInd w:val="0"/>
        <w:jc w:val="both"/>
        <w:rPr>
          <w:rFonts w:ascii="Calibri" w:hAnsi="Calibri" w:cs="Calibri"/>
          <w:bCs/>
          <w:color w:val="000000"/>
          <w:sz w:val="22"/>
          <w:szCs w:val="22"/>
        </w:rPr>
      </w:pPr>
      <w:r w:rsidRPr="00F215AE">
        <w:rPr>
          <w:rFonts w:ascii="Calibri" w:hAnsi="Calibri" w:cs="Calibri"/>
          <w:bCs/>
          <w:color w:val="000000"/>
          <w:sz w:val="22"/>
          <w:szCs w:val="22"/>
        </w:rPr>
        <w:t>Le</w:t>
      </w:r>
      <w:r>
        <w:rPr>
          <w:rFonts w:ascii="Calibri" w:hAnsi="Calibri" w:cs="Calibri"/>
          <w:bCs/>
          <w:color w:val="000000"/>
          <w:sz w:val="22"/>
          <w:szCs w:val="22"/>
        </w:rPr>
        <w:t>·La</w:t>
      </w:r>
      <w:r w:rsidRPr="00F215AE">
        <w:rPr>
          <w:rFonts w:ascii="Calibri" w:hAnsi="Calibri" w:cs="Calibri"/>
          <w:bCs/>
          <w:color w:val="000000"/>
          <w:sz w:val="22"/>
          <w:szCs w:val="22"/>
        </w:rPr>
        <w:t xml:space="preserve"> gestionnaire financier</w:t>
      </w:r>
      <w:r>
        <w:rPr>
          <w:rFonts w:ascii="Calibri" w:hAnsi="Calibri" w:cs="Calibri"/>
          <w:bCs/>
          <w:color w:val="000000"/>
          <w:sz w:val="22"/>
          <w:szCs w:val="22"/>
        </w:rPr>
        <w:t>·ère</w:t>
      </w:r>
      <w:r w:rsidRPr="00F215AE">
        <w:rPr>
          <w:rFonts w:ascii="Calibri" w:hAnsi="Calibri" w:cs="Calibri"/>
          <w:bCs/>
          <w:color w:val="000000"/>
          <w:sz w:val="22"/>
          <w:szCs w:val="22"/>
        </w:rPr>
        <w:t xml:space="preserve"> et comptable réalise des actes de gestion dans le respect des techniques, des règles et des procédures applicables au domaine de la gestion financière et/ou comptable.</w:t>
      </w:r>
    </w:p>
    <w:p w14:paraId="06C02FDA" w14:textId="77777777" w:rsidR="00647534" w:rsidRDefault="00647534" w:rsidP="00647534">
      <w:pPr>
        <w:autoSpaceDE w:val="0"/>
        <w:autoSpaceDN w:val="0"/>
        <w:adjustRightInd w:val="0"/>
        <w:jc w:val="both"/>
        <w:rPr>
          <w:rFonts w:ascii="Calibri" w:hAnsi="Calibri" w:cs="Calibri"/>
          <w:bCs/>
          <w:color w:val="000000"/>
          <w:sz w:val="22"/>
          <w:szCs w:val="22"/>
        </w:rPr>
      </w:pPr>
    </w:p>
    <w:p w14:paraId="15F860BD" w14:textId="77777777" w:rsidR="00647534" w:rsidRDefault="00647534" w:rsidP="00647534">
      <w:pPr>
        <w:autoSpaceDE w:val="0"/>
        <w:autoSpaceDN w:val="0"/>
        <w:adjustRightInd w:val="0"/>
        <w:jc w:val="both"/>
        <w:rPr>
          <w:rFonts w:ascii="Calibri" w:hAnsi="Calibri" w:cs="Calibri"/>
          <w:bCs/>
          <w:color w:val="000000"/>
          <w:sz w:val="22"/>
          <w:szCs w:val="22"/>
        </w:rPr>
      </w:pPr>
    </w:p>
    <w:p w14:paraId="74A40262" w14:textId="77777777" w:rsidR="00647534" w:rsidRDefault="00647534" w:rsidP="00647534">
      <w:pPr>
        <w:autoSpaceDE w:val="0"/>
        <w:autoSpaceDN w:val="0"/>
        <w:adjustRightInd w:val="0"/>
        <w:jc w:val="both"/>
        <w:rPr>
          <w:rFonts w:ascii="Calibri" w:hAnsi="Calibri" w:cs="Calibri"/>
          <w:bCs/>
          <w:color w:val="000000"/>
          <w:sz w:val="22"/>
          <w:szCs w:val="22"/>
        </w:rPr>
      </w:pPr>
    </w:p>
    <w:p w14:paraId="52FC4DA1" w14:textId="77777777" w:rsidR="00647534" w:rsidRDefault="00647534" w:rsidP="00647534">
      <w:pPr>
        <w:autoSpaceDE w:val="0"/>
        <w:autoSpaceDN w:val="0"/>
        <w:adjustRightInd w:val="0"/>
        <w:jc w:val="both"/>
        <w:rPr>
          <w:rFonts w:ascii="Calibri" w:hAnsi="Calibri" w:cs="Calibri"/>
          <w:bCs/>
          <w:color w:val="000000"/>
          <w:sz w:val="22"/>
          <w:szCs w:val="22"/>
        </w:rPr>
      </w:pPr>
    </w:p>
    <w:p w14:paraId="343B0636" w14:textId="77777777" w:rsidR="00647534" w:rsidRDefault="00647534" w:rsidP="00647534">
      <w:pPr>
        <w:autoSpaceDE w:val="0"/>
        <w:autoSpaceDN w:val="0"/>
        <w:adjustRightInd w:val="0"/>
        <w:jc w:val="both"/>
        <w:rPr>
          <w:rFonts w:ascii="Calibri" w:hAnsi="Calibri" w:cs="Calibri"/>
          <w:bCs/>
          <w:color w:val="000000"/>
          <w:sz w:val="22"/>
          <w:szCs w:val="22"/>
        </w:rPr>
      </w:pPr>
    </w:p>
    <w:p w14:paraId="576A0E99" w14:textId="77777777" w:rsidR="00647534" w:rsidRDefault="00647534" w:rsidP="00647534">
      <w:pPr>
        <w:autoSpaceDE w:val="0"/>
        <w:autoSpaceDN w:val="0"/>
        <w:adjustRightInd w:val="0"/>
        <w:jc w:val="both"/>
        <w:rPr>
          <w:rFonts w:ascii="Calibri" w:hAnsi="Calibri" w:cs="Calibri"/>
          <w:bCs/>
          <w:color w:val="000000"/>
          <w:sz w:val="22"/>
          <w:szCs w:val="22"/>
        </w:rPr>
      </w:pPr>
    </w:p>
    <w:p w14:paraId="1ABEDA47" w14:textId="77777777" w:rsidR="00647534" w:rsidRDefault="00647534" w:rsidP="00647534">
      <w:pPr>
        <w:autoSpaceDE w:val="0"/>
        <w:autoSpaceDN w:val="0"/>
        <w:adjustRightInd w:val="0"/>
        <w:jc w:val="both"/>
        <w:rPr>
          <w:rFonts w:ascii="Calibri" w:hAnsi="Calibri" w:cs="Calibri"/>
          <w:bCs/>
          <w:color w:val="000000"/>
          <w:sz w:val="22"/>
          <w:szCs w:val="22"/>
        </w:rPr>
      </w:pPr>
    </w:p>
    <w:p w14:paraId="26C88F57" w14:textId="77777777" w:rsidR="00647534" w:rsidRDefault="00647534" w:rsidP="00647534">
      <w:pPr>
        <w:autoSpaceDE w:val="0"/>
        <w:autoSpaceDN w:val="0"/>
        <w:adjustRightInd w:val="0"/>
        <w:jc w:val="both"/>
        <w:rPr>
          <w:rFonts w:ascii="Calibri" w:hAnsi="Calibri" w:cs="Calibri"/>
          <w:bCs/>
          <w:color w:val="000000"/>
          <w:sz w:val="22"/>
          <w:szCs w:val="22"/>
        </w:rPr>
      </w:pPr>
    </w:p>
    <w:p w14:paraId="772FC343" w14:textId="77777777" w:rsidR="00647534" w:rsidRDefault="00647534" w:rsidP="00647534">
      <w:pPr>
        <w:autoSpaceDE w:val="0"/>
        <w:autoSpaceDN w:val="0"/>
        <w:adjustRightInd w:val="0"/>
        <w:jc w:val="both"/>
        <w:rPr>
          <w:rFonts w:ascii="Calibri" w:hAnsi="Calibri" w:cs="Calibri"/>
          <w:bCs/>
          <w:color w:val="000000"/>
          <w:sz w:val="22"/>
          <w:szCs w:val="22"/>
        </w:rPr>
      </w:pPr>
    </w:p>
    <w:p w14:paraId="7E62C631" w14:textId="77777777" w:rsidR="00647534" w:rsidRDefault="00647534" w:rsidP="00647534">
      <w:pPr>
        <w:autoSpaceDE w:val="0"/>
        <w:autoSpaceDN w:val="0"/>
        <w:adjustRightInd w:val="0"/>
        <w:jc w:val="both"/>
        <w:rPr>
          <w:rFonts w:ascii="Calibri" w:hAnsi="Calibri" w:cs="Calibri"/>
          <w:bCs/>
          <w:color w:val="000000"/>
          <w:sz w:val="22"/>
          <w:szCs w:val="22"/>
        </w:rPr>
      </w:pPr>
    </w:p>
    <w:p w14:paraId="2E5A3286" w14:textId="77777777" w:rsidR="00647534" w:rsidRPr="00F254CD" w:rsidRDefault="00647534" w:rsidP="00647534">
      <w:pPr>
        <w:autoSpaceDE w:val="0"/>
        <w:autoSpaceDN w:val="0"/>
        <w:adjustRightInd w:val="0"/>
        <w:jc w:val="both"/>
        <w:rPr>
          <w:rFonts w:ascii="Calibri" w:hAnsi="Calibri" w:cs="Calibri"/>
          <w:bCs/>
          <w:color w:val="000000"/>
          <w:sz w:val="22"/>
          <w:szCs w:val="22"/>
        </w:rPr>
      </w:pPr>
    </w:p>
    <w:p w14:paraId="555107BC" w14:textId="77777777" w:rsidR="00647534" w:rsidRPr="00C52032" w:rsidRDefault="00647534" w:rsidP="00647534">
      <w:pPr>
        <w:jc w:val="both"/>
        <w:rPr>
          <w:rFonts w:asciiTheme="minorHAnsi" w:hAnsiTheme="minorHAnsi" w:cstheme="minorHAnsi"/>
          <w:b/>
          <w:sz w:val="22"/>
          <w:szCs w:val="22"/>
          <w:u w:val="single"/>
        </w:rPr>
      </w:pPr>
    </w:p>
    <w:p w14:paraId="20A294F6" w14:textId="77777777" w:rsidR="00647534" w:rsidRPr="00C52032" w:rsidRDefault="00647534" w:rsidP="00647534">
      <w:pPr>
        <w:pStyle w:val="Corpsdetexte"/>
        <w:snapToGrid w:val="0"/>
        <w:rPr>
          <w:rFonts w:asciiTheme="minorHAnsi" w:hAnsiTheme="minorHAnsi" w:cstheme="minorHAnsi"/>
          <w:b/>
          <w:color w:val="00B9AF"/>
          <w:sz w:val="22"/>
          <w:szCs w:val="22"/>
        </w:rPr>
      </w:pPr>
      <w:r w:rsidRPr="00C52032">
        <w:rPr>
          <w:rFonts w:asciiTheme="minorHAnsi" w:hAnsiTheme="minorHAnsi" w:cstheme="minorHAnsi"/>
          <w:b/>
          <w:color w:val="00B9AF"/>
          <w:sz w:val="22"/>
          <w:szCs w:val="22"/>
        </w:rPr>
        <w:lastRenderedPageBreak/>
        <w:t>ACTIVITES PRINCIPALES</w:t>
      </w:r>
    </w:p>
    <w:p w14:paraId="183956CB" w14:textId="77777777" w:rsidR="00647534" w:rsidRDefault="00647534" w:rsidP="00647534">
      <w:pPr>
        <w:autoSpaceDE w:val="0"/>
        <w:autoSpaceDN w:val="0"/>
        <w:adjustRightInd w:val="0"/>
        <w:jc w:val="both"/>
        <w:rPr>
          <w:rFonts w:ascii="Calibri" w:hAnsi="Calibri" w:cs="Calibri"/>
          <w:bCs/>
          <w:color w:val="000000"/>
          <w:sz w:val="22"/>
          <w:szCs w:val="22"/>
        </w:rPr>
      </w:pPr>
    </w:p>
    <w:p w14:paraId="6AC370C7" w14:textId="77777777" w:rsidR="00647534" w:rsidRPr="00A73141" w:rsidRDefault="00647534" w:rsidP="00647534">
      <w:pPr>
        <w:pStyle w:val="Paragraphedeliste"/>
        <w:numPr>
          <w:ilvl w:val="0"/>
          <w:numId w:val="1"/>
        </w:numPr>
        <w:autoSpaceDE w:val="0"/>
        <w:autoSpaceDN w:val="0"/>
        <w:adjustRightInd w:val="0"/>
        <w:jc w:val="both"/>
        <w:rPr>
          <w:rFonts w:ascii="Calibri" w:hAnsi="Calibri" w:cs="Calibri"/>
          <w:bCs/>
          <w:color w:val="000000"/>
          <w:sz w:val="22"/>
          <w:szCs w:val="22"/>
        </w:rPr>
      </w:pPr>
      <w:bookmarkStart w:id="1" w:name="_Hlk126254075"/>
      <w:r w:rsidRPr="00C34692">
        <w:rPr>
          <w:rFonts w:ascii="Calibri" w:hAnsi="Calibri" w:cs="Calibri"/>
          <w:bCs/>
          <w:color w:val="000000"/>
          <w:sz w:val="22"/>
          <w:szCs w:val="22"/>
        </w:rPr>
        <w:t>Procéder aux opérations d'engagement, liquidation, mandatement</w:t>
      </w:r>
    </w:p>
    <w:p w14:paraId="66CA639F" w14:textId="77777777" w:rsidR="00647534" w:rsidRPr="00A73141" w:rsidRDefault="00647534" w:rsidP="00647534">
      <w:pPr>
        <w:pStyle w:val="Paragraphedeliste"/>
        <w:numPr>
          <w:ilvl w:val="0"/>
          <w:numId w:val="2"/>
        </w:numPr>
        <w:autoSpaceDE w:val="0"/>
        <w:autoSpaceDN w:val="0"/>
        <w:adjustRightInd w:val="0"/>
        <w:jc w:val="both"/>
        <w:rPr>
          <w:rFonts w:ascii="Calibri" w:hAnsi="Calibri" w:cs="Calibri"/>
          <w:bCs/>
          <w:color w:val="000000"/>
          <w:sz w:val="22"/>
          <w:szCs w:val="22"/>
        </w:rPr>
      </w:pPr>
      <w:r w:rsidRPr="00C34692">
        <w:rPr>
          <w:rFonts w:ascii="Calibri" w:hAnsi="Calibri" w:cs="Calibri"/>
          <w:bCs/>
          <w:color w:val="000000"/>
          <w:sz w:val="22"/>
          <w:szCs w:val="22"/>
        </w:rPr>
        <w:t>Enregistrer les données budgétaires</w:t>
      </w:r>
    </w:p>
    <w:p w14:paraId="7D5CC916" w14:textId="77777777" w:rsidR="00647534" w:rsidRDefault="00647534" w:rsidP="00647534">
      <w:pPr>
        <w:pStyle w:val="Paragraphedeliste"/>
        <w:numPr>
          <w:ilvl w:val="0"/>
          <w:numId w:val="2"/>
        </w:numPr>
        <w:autoSpaceDE w:val="0"/>
        <w:autoSpaceDN w:val="0"/>
        <w:adjustRightInd w:val="0"/>
        <w:jc w:val="both"/>
        <w:rPr>
          <w:rFonts w:ascii="Calibri" w:hAnsi="Calibri" w:cs="Calibri"/>
          <w:bCs/>
          <w:color w:val="000000"/>
          <w:sz w:val="22"/>
          <w:szCs w:val="22"/>
        </w:rPr>
      </w:pPr>
      <w:r w:rsidRPr="00C34692">
        <w:rPr>
          <w:rFonts w:ascii="Calibri" w:hAnsi="Calibri" w:cs="Calibri"/>
          <w:bCs/>
          <w:color w:val="000000"/>
          <w:sz w:val="22"/>
          <w:szCs w:val="22"/>
        </w:rPr>
        <w:t>Collecter et contrôler les pièces justificatives nécessaires aux opérations de gestion</w:t>
      </w:r>
    </w:p>
    <w:p w14:paraId="6B9B5AA2" w14:textId="77777777" w:rsidR="00647534" w:rsidRPr="00CB4249" w:rsidRDefault="00647534" w:rsidP="00647534">
      <w:pPr>
        <w:pStyle w:val="Paragraphedeliste"/>
        <w:numPr>
          <w:ilvl w:val="0"/>
          <w:numId w:val="2"/>
        </w:numPr>
        <w:autoSpaceDE w:val="0"/>
        <w:autoSpaceDN w:val="0"/>
        <w:adjustRightInd w:val="0"/>
        <w:jc w:val="both"/>
        <w:rPr>
          <w:rFonts w:ascii="Calibri" w:hAnsi="Calibri" w:cs="Calibri"/>
          <w:bCs/>
          <w:color w:val="000000"/>
          <w:sz w:val="22"/>
          <w:szCs w:val="22"/>
        </w:rPr>
      </w:pPr>
      <w:r w:rsidRPr="00C34692">
        <w:rPr>
          <w:rFonts w:ascii="Calibri" w:hAnsi="Calibri" w:cs="Calibri"/>
          <w:bCs/>
          <w:color w:val="000000"/>
          <w:sz w:val="22"/>
          <w:szCs w:val="22"/>
        </w:rPr>
        <w:t>Intégrer les données, contrôler leur validité et leur cohérence</w:t>
      </w:r>
    </w:p>
    <w:p w14:paraId="41F0EC9E" w14:textId="77777777" w:rsidR="00647534" w:rsidRPr="00C34692" w:rsidRDefault="00647534" w:rsidP="00647534">
      <w:pPr>
        <w:pStyle w:val="Paragraphedeliste"/>
        <w:numPr>
          <w:ilvl w:val="0"/>
          <w:numId w:val="2"/>
        </w:numPr>
        <w:autoSpaceDE w:val="0"/>
        <w:autoSpaceDN w:val="0"/>
        <w:adjustRightInd w:val="0"/>
        <w:jc w:val="both"/>
        <w:rPr>
          <w:rFonts w:ascii="Calibri" w:hAnsi="Calibri" w:cs="Calibri"/>
          <w:bCs/>
          <w:color w:val="000000"/>
          <w:sz w:val="22"/>
          <w:szCs w:val="22"/>
        </w:rPr>
      </w:pPr>
      <w:r w:rsidRPr="00C34692">
        <w:rPr>
          <w:rFonts w:ascii="Calibri" w:hAnsi="Calibri" w:cs="Calibri"/>
          <w:bCs/>
          <w:color w:val="000000"/>
          <w:sz w:val="22"/>
          <w:szCs w:val="22"/>
        </w:rPr>
        <w:t>Classer et archiver les pièces et justificatifs d'opérations financières et comptables</w:t>
      </w:r>
    </w:p>
    <w:p w14:paraId="52B2354D" w14:textId="77777777" w:rsidR="00647534" w:rsidRPr="00C34692" w:rsidRDefault="00647534" w:rsidP="00647534">
      <w:pPr>
        <w:pStyle w:val="Paragraphedeliste"/>
        <w:numPr>
          <w:ilvl w:val="0"/>
          <w:numId w:val="2"/>
        </w:numPr>
        <w:autoSpaceDE w:val="0"/>
        <w:autoSpaceDN w:val="0"/>
        <w:adjustRightInd w:val="0"/>
        <w:jc w:val="both"/>
        <w:rPr>
          <w:rFonts w:ascii="Calibri" w:hAnsi="Calibri" w:cs="Calibri"/>
          <w:bCs/>
          <w:color w:val="000000"/>
          <w:sz w:val="22"/>
          <w:szCs w:val="22"/>
        </w:rPr>
      </w:pPr>
      <w:r w:rsidRPr="00C34692">
        <w:rPr>
          <w:rFonts w:ascii="Calibri" w:hAnsi="Calibri" w:cs="Calibri"/>
          <w:bCs/>
          <w:color w:val="000000"/>
          <w:sz w:val="22"/>
          <w:szCs w:val="22"/>
        </w:rPr>
        <w:t>Alimenter les bases de données du domaine d'intervention et faire un suivi</w:t>
      </w:r>
    </w:p>
    <w:p w14:paraId="19B3A4E4" w14:textId="77777777" w:rsidR="00647534" w:rsidRPr="00C34692" w:rsidRDefault="00647534" w:rsidP="00647534">
      <w:pPr>
        <w:pStyle w:val="Paragraphedeliste"/>
        <w:numPr>
          <w:ilvl w:val="0"/>
          <w:numId w:val="2"/>
        </w:numPr>
        <w:autoSpaceDE w:val="0"/>
        <w:autoSpaceDN w:val="0"/>
        <w:adjustRightInd w:val="0"/>
        <w:jc w:val="both"/>
        <w:rPr>
          <w:rFonts w:ascii="Calibri" w:hAnsi="Calibri" w:cs="Calibri"/>
          <w:bCs/>
          <w:color w:val="000000"/>
          <w:sz w:val="22"/>
          <w:szCs w:val="22"/>
        </w:rPr>
      </w:pPr>
      <w:r w:rsidRPr="00C34692">
        <w:rPr>
          <w:rFonts w:ascii="Calibri" w:hAnsi="Calibri" w:cs="Calibri"/>
          <w:bCs/>
          <w:color w:val="000000"/>
          <w:sz w:val="22"/>
          <w:szCs w:val="22"/>
        </w:rPr>
        <w:t>Suivre les crédits par type de dépenses ou d'opérations ou par structure</w:t>
      </w:r>
    </w:p>
    <w:p w14:paraId="1BC9711C" w14:textId="77777777" w:rsidR="00647534" w:rsidRPr="008A2E24" w:rsidRDefault="00647534" w:rsidP="00647534">
      <w:pPr>
        <w:pStyle w:val="Paragraphedeliste"/>
        <w:numPr>
          <w:ilvl w:val="0"/>
          <w:numId w:val="2"/>
        </w:numPr>
        <w:autoSpaceDE w:val="0"/>
        <w:autoSpaceDN w:val="0"/>
        <w:adjustRightInd w:val="0"/>
        <w:jc w:val="both"/>
        <w:rPr>
          <w:rFonts w:ascii="Calibri" w:hAnsi="Calibri" w:cs="Calibri"/>
          <w:bCs/>
          <w:color w:val="000000"/>
          <w:sz w:val="22"/>
          <w:szCs w:val="22"/>
        </w:rPr>
      </w:pPr>
      <w:r w:rsidRPr="00C34692">
        <w:rPr>
          <w:rFonts w:ascii="Calibri" w:hAnsi="Calibri" w:cs="Calibri"/>
          <w:bCs/>
          <w:color w:val="000000"/>
          <w:sz w:val="22"/>
          <w:szCs w:val="22"/>
        </w:rPr>
        <w:t>Consigner les procédures applicables dans son domaine</w:t>
      </w:r>
    </w:p>
    <w:p w14:paraId="1A04EE14" w14:textId="77777777" w:rsidR="00647534" w:rsidRPr="00C34692" w:rsidRDefault="00647534" w:rsidP="00647534">
      <w:pPr>
        <w:pStyle w:val="Paragraphedeliste"/>
        <w:numPr>
          <w:ilvl w:val="0"/>
          <w:numId w:val="2"/>
        </w:numPr>
        <w:autoSpaceDE w:val="0"/>
        <w:autoSpaceDN w:val="0"/>
        <w:adjustRightInd w:val="0"/>
        <w:jc w:val="both"/>
        <w:rPr>
          <w:rFonts w:ascii="Calibri" w:hAnsi="Calibri" w:cs="Calibri"/>
          <w:bCs/>
          <w:color w:val="000000"/>
          <w:sz w:val="22"/>
          <w:szCs w:val="22"/>
        </w:rPr>
      </w:pPr>
      <w:r w:rsidRPr="00C34692">
        <w:rPr>
          <w:rFonts w:ascii="Calibri" w:hAnsi="Calibri" w:cs="Calibri"/>
          <w:bCs/>
          <w:color w:val="000000"/>
          <w:sz w:val="22"/>
          <w:szCs w:val="22"/>
        </w:rPr>
        <w:t>S'informer et suivre l'évolution de la réglementation dans son domaine d'activité</w:t>
      </w:r>
    </w:p>
    <w:bookmarkEnd w:id="1"/>
    <w:p w14:paraId="4A2E43DD" w14:textId="77777777" w:rsidR="00647534" w:rsidRDefault="00647534" w:rsidP="00647534">
      <w:pPr>
        <w:pStyle w:val="Corpsdetexte"/>
        <w:snapToGrid w:val="0"/>
        <w:rPr>
          <w:rFonts w:asciiTheme="minorHAnsi" w:hAnsiTheme="minorHAnsi" w:cstheme="minorHAnsi"/>
          <w:sz w:val="22"/>
          <w:szCs w:val="22"/>
        </w:rPr>
      </w:pPr>
    </w:p>
    <w:p w14:paraId="6BEE63E1" w14:textId="77777777" w:rsidR="00647534" w:rsidRPr="00C52032" w:rsidRDefault="00647534" w:rsidP="00647534">
      <w:pPr>
        <w:pStyle w:val="Corpsdetexte"/>
        <w:rPr>
          <w:rFonts w:asciiTheme="minorHAnsi" w:hAnsiTheme="minorHAnsi" w:cstheme="minorHAnsi"/>
          <w:b/>
          <w:color w:val="00B9AF"/>
          <w:sz w:val="22"/>
          <w:szCs w:val="22"/>
        </w:rPr>
      </w:pPr>
      <w:r>
        <w:rPr>
          <w:rFonts w:asciiTheme="minorHAnsi" w:hAnsiTheme="minorHAnsi" w:cstheme="minorHAnsi"/>
          <w:b/>
          <w:bCs/>
          <w:color w:val="00B9AF"/>
          <w:sz w:val="22"/>
          <w:szCs w:val="22"/>
        </w:rPr>
        <w:t>CONTRAINTES PARTICULIERES D’EXERCICE</w:t>
      </w:r>
    </w:p>
    <w:p w14:paraId="337A8C7A" w14:textId="77777777" w:rsidR="00647534" w:rsidRDefault="00647534" w:rsidP="00647534">
      <w:pPr>
        <w:pStyle w:val="Corpsdetexte"/>
        <w:numPr>
          <w:ilvl w:val="0"/>
          <w:numId w:val="2"/>
        </w:numPr>
        <w:snapToGrid w:val="0"/>
        <w:rPr>
          <w:rFonts w:asciiTheme="minorHAnsi" w:hAnsiTheme="minorHAnsi" w:cstheme="minorHAnsi"/>
          <w:sz w:val="22"/>
          <w:szCs w:val="22"/>
        </w:rPr>
      </w:pPr>
      <w:r w:rsidRPr="00204EA9">
        <w:rPr>
          <w:rFonts w:asciiTheme="minorHAnsi" w:hAnsiTheme="minorHAnsi" w:cstheme="minorHAnsi"/>
          <w:sz w:val="22"/>
          <w:szCs w:val="22"/>
        </w:rPr>
        <w:t xml:space="preserve">Contraintes </w:t>
      </w:r>
      <w:r>
        <w:rPr>
          <w:rFonts w:asciiTheme="minorHAnsi" w:hAnsiTheme="minorHAnsi" w:cstheme="minorHAnsi"/>
          <w:sz w:val="22"/>
          <w:szCs w:val="22"/>
        </w:rPr>
        <w:t>calendaires</w:t>
      </w:r>
    </w:p>
    <w:p w14:paraId="7F6BE0C9" w14:textId="77777777" w:rsidR="00647534" w:rsidRPr="00C52032" w:rsidRDefault="00647534" w:rsidP="00647534">
      <w:pPr>
        <w:pStyle w:val="Corpsdetexte"/>
        <w:snapToGrid w:val="0"/>
        <w:ind w:left="720"/>
        <w:rPr>
          <w:rFonts w:asciiTheme="minorHAnsi" w:hAnsiTheme="minorHAnsi" w:cstheme="minorHAnsi"/>
          <w:sz w:val="22"/>
          <w:szCs w:val="22"/>
        </w:rPr>
      </w:pPr>
    </w:p>
    <w:p w14:paraId="689B6F43" w14:textId="77777777" w:rsidR="00647534" w:rsidRPr="00C52032" w:rsidRDefault="00647534" w:rsidP="00647534">
      <w:pPr>
        <w:pStyle w:val="Corpsdetexte"/>
        <w:rPr>
          <w:rFonts w:asciiTheme="minorHAnsi" w:hAnsiTheme="minorHAnsi" w:cstheme="minorHAnsi"/>
          <w:b/>
          <w:color w:val="00B9AF"/>
          <w:sz w:val="22"/>
          <w:szCs w:val="22"/>
        </w:rPr>
      </w:pPr>
      <w:r w:rsidRPr="00C52032">
        <w:rPr>
          <w:rFonts w:asciiTheme="minorHAnsi" w:hAnsiTheme="minorHAnsi" w:cstheme="minorHAnsi"/>
          <w:b/>
          <w:bCs/>
          <w:color w:val="00B9AF"/>
          <w:sz w:val="22"/>
          <w:szCs w:val="22"/>
        </w:rPr>
        <w:t>COMPETENCES REQUISES</w:t>
      </w:r>
    </w:p>
    <w:p w14:paraId="2E083B14" w14:textId="77777777" w:rsidR="00647534" w:rsidRPr="00C52032" w:rsidRDefault="00647534" w:rsidP="00647534">
      <w:pPr>
        <w:pStyle w:val="Corpsdetexte"/>
        <w:rPr>
          <w:rFonts w:asciiTheme="minorHAnsi" w:hAnsiTheme="minorHAnsi" w:cstheme="minorHAnsi"/>
          <w:b/>
          <w:sz w:val="22"/>
          <w:szCs w:val="22"/>
          <w:u w:val="single"/>
        </w:rPr>
      </w:pPr>
    </w:p>
    <w:p w14:paraId="0CCF2AA9" w14:textId="77777777" w:rsidR="00647534" w:rsidRPr="003F7E2B" w:rsidRDefault="00647534" w:rsidP="00647534">
      <w:pPr>
        <w:pStyle w:val="Corpsdetexte"/>
        <w:snapToGrid w:val="0"/>
        <w:rPr>
          <w:rFonts w:asciiTheme="minorHAnsi" w:hAnsiTheme="minorHAnsi" w:cstheme="minorHAnsi"/>
          <w:b/>
          <w:sz w:val="22"/>
          <w:szCs w:val="22"/>
        </w:rPr>
      </w:pPr>
      <w:bookmarkStart w:id="2" w:name="_Hlk126254068"/>
      <w:r w:rsidRPr="003F7E2B">
        <w:rPr>
          <w:rFonts w:asciiTheme="minorHAnsi" w:hAnsiTheme="minorHAnsi" w:cstheme="minorHAnsi"/>
          <w:b/>
          <w:sz w:val="22"/>
          <w:szCs w:val="22"/>
        </w:rPr>
        <w:t xml:space="preserve">Connaissances </w:t>
      </w:r>
    </w:p>
    <w:p w14:paraId="02A4584F" w14:textId="77777777" w:rsidR="00647534" w:rsidRPr="003F7E2B" w:rsidRDefault="00647534" w:rsidP="00647534">
      <w:pPr>
        <w:pStyle w:val="Corpsdetexte"/>
        <w:snapToGrid w:val="0"/>
        <w:rPr>
          <w:rFonts w:asciiTheme="minorHAnsi" w:hAnsiTheme="minorHAnsi" w:cstheme="minorHAnsi"/>
          <w:b/>
          <w:sz w:val="22"/>
          <w:szCs w:val="22"/>
        </w:rPr>
      </w:pPr>
    </w:p>
    <w:p w14:paraId="75DC8A0A" w14:textId="77777777" w:rsidR="00647534" w:rsidRPr="00280B01" w:rsidRDefault="00647534" w:rsidP="00647534">
      <w:pPr>
        <w:pStyle w:val="Paragraphedeliste"/>
        <w:numPr>
          <w:ilvl w:val="0"/>
          <w:numId w:val="3"/>
        </w:numPr>
        <w:autoSpaceDE w:val="0"/>
        <w:autoSpaceDN w:val="0"/>
        <w:adjustRightInd w:val="0"/>
        <w:jc w:val="both"/>
        <w:rPr>
          <w:rFonts w:ascii="Calibri" w:hAnsi="Calibri" w:cs="Calibri"/>
          <w:bCs/>
          <w:color w:val="000000"/>
          <w:sz w:val="22"/>
          <w:szCs w:val="22"/>
        </w:rPr>
      </w:pPr>
      <w:r w:rsidRPr="00280B01">
        <w:rPr>
          <w:rFonts w:ascii="Calibri" w:hAnsi="Calibri" w:cs="Calibri"/>
          <w:bCs/>
          <w:color w:val="000000"/>
          <w:sz w:val="22"/>
          <w:szCs w:val="22"/>
        </w:rPr>
        <w:t>Environnement et réseaux professionnels</w:t>
      </w:r>
    </w:p>
    <w:p w14:paraId="28A89C72" w14:textId="77777777" w:rsidR="00647534" w:rsidRPr="00280B01" w:rsidRDefault="00647534" w:rsidP="00647534">
      <w:pPr>
        <w:pStyle w:val="Paragraphedeliste"/>
        <w:numPr>
          <w:ilvl w:val="0"/>
          <w:numId w:val="4"/>
        </w:numPr>
        <w:autoSpaceDE w:val="0"/>
        <w:autoSpaceDN w:val="0"/>
        <w:adjustRightInd w:val="0"/>
        <w:jc w:val="both"/>
        <w:rPr>
          <w:rFonts w:ascii="Calibri" w:hAnsi="Calibri" w:cs="Calibri"/>
          <w:bCs/>
          <w:color w:val="000000"/>
          <w:sz w:val="22"/>
          <w:szCs w:val="22"/>
        </w:rPr>
      </w:pPr>
      <w:r w:rsidRPr="00280B01">
        <w:rPr>
          <w:rFonts w:ascii="Calibri" w:hAnsi="Calibri" w:cs="Calibri"/>
          <w:bCs/>
          <w:color w:val="000000"/>
          <w:sz w:val="22"/>
          <w:szCs w:val="22"/>
        </w:rPr>
        <w:t>Finances publiques</w:t>
      </w:r>
    </w:p>
    <w:p w14:paraId="678680BA" w14:textId="77777777" w:rsidR="00647534" w:rsidRPr="00280B01" w:rsidRDefault="00647534" w:rsidP="00647534">
      <w:pPr>
        <w:pStyle w:val="Paragraphedeliste"/>
        <w:numPr>
          <w:ilvl w:val="0"/>
          <w:numId w:val="4"/>
        </w:numPr>
        <w:autoSpaceDE w:val="0"/>
        <w:autoSpaceDN w:val="0"/>
        <w:adjustRightInd w:val="0"/>
        <w:jc w:val="both"/>
        <w:rPr>
          <w:rFonts w:ascii="Calibri" w:hAnsi="Calibri" w:cs="Calibri"/>
          <w:bCs/>
          <w:color w:val="000000"/>
          <w:sz w:val="22"/>
          <w:szCs w:val="22"/>
        </w:rPr>
      </w:pPr>
      <w:r w:rsidRPr="00280B01">
        <w:rPr>
          <w:rFonts w:ascii="Calibri" w:hAnsi="Calibri" w:cs="Calibri"/>
          <w:bCs/>
          <w:color w:val="000000"/>
          <w:sz w:val="22"/>
          <w:szCs w:val="22"/>
        </w:rPr>
        <w:t xml:space="preserve">Règles et techniques de la comptabilité </w:t>
      </w:r>
    </w:p>
    <w:p w14:paraId="2E054C11" w14:textId="77777777" w:rsidR="00647534" w:rsidRPr="00280B01" w:rsidRDefault="00647534" w:rsidP="00647534">
      <w:pPr>
        <w:pStyle w:val="Paragraphedeliste"/>
        <w:numPr>
          <w:ilvl w:val="0"/>
          <w:numId w:val="4"/>
        </w:numPr>
        <w:autoSpaceDE w:val="0"/>
        <w:autoSpaceDN w:val="0"/>
        <w:adjustRightInd w:val="0"/>
        <w:jc w:val="both"/>
        <w:rPr>
          <w:rFonts w:ascii="Calibri" w:hAnsi="Calibri" w:cs="Calibri"/>
          <w:bCs/>
          <w:color w:val="000000"/>
          <w:sz w:val="22"/>
          <w:szCs w:val="22"/>
        </w:rPr>
      </w:pPr>
      <w:r w:rsidRPr="00280B01">
        <w:rPr>
          <w:rFonts w:ascii="Calibri" w:hAnsi="Calibri" w:cs="Calibri"/>
          <w:bCs/>
          <w:color w:val="000000"/>
          <w:sz w:val="22"/>
          <w:szCs w:val="22"/>
        </w:rPr>
        <w:t>Systèmes d'information budgétaires et financiers</w:t>
      </w:r>
    </w:p>
    <w:p w14:paraId="1C44029E" w14:textId="77777777" w:rsidR="00647534" w:rsidRDefault="00647534" w:rsidP="00647534">
      <w:pPr>
        <w:pStyle w:val="Paragraphedeliste"/>
        <w:numPr>
          <w:ilvl w:val="0"/>
          <w:numId w:val="4"/>
        </w:numPr>
        <w:autoSpaceDE w:val="0"/>
        <w:autoSpaceDN w:val="0"/>
        <w:adjustRightInd w:val="0"/>
        <w:jc w:val="both"/>
        <w:rPr>
          <w:rFonts w:ascii="Calibri" w:hAnsi="Calibri" w:cs="Calibri"/>
          <w:bCs/>
          <w:color w:val="000000"/>
          <w:sz w:val="22"/>
          <w:szCs w:val="22"/>
        </w:rPr>
      </w:pPr>
      <w:r w:rsidRPr="00280B01">
        <w:rPr>
          <w:rFonts w:ascii="Calibri" w:hAnsi="Calibri" w:cs="Calibri"/>
          <w:bCs/>
          <w:color w:val="000000"/>
          <w:sz w:val="22"/>
          <w:szCs w:val="22"/>
        </w:rPr>
        <w:t>Langue anglaise : A1 à A2 (cadre européen commun de référence pour les langues)</w:t>
      </w:r>
    </w:p>
    <w:p w14:paraId="78252416" w14:textId="77777777" w:rsidR="00647534" w:rsidRPr="00280B01" w:rsidRDefault="00647534" w:rsidP="00647534">
      <w:pPr>
        <w:pStyle w:val="Paragraphedeliste"/>
        <w:autoSpaceDE w:val="0"/>
        <w:autoSpaceDN w:val="0"/>
        <w:adjustRightInd w:val="0"/>
        <w:jc w:val="both"/>
        <w:rPr>
          <w:rFonts w:ascii="Calibri" w:hAnsi="Calibri" w:cs="Calibri"/>
          <w:bCs/>
          <w:color w:val="000000"/>
          <w:sz w:val="22"/>
          <w:szCs w:val="22"/>
        </w:rPr>
      </w:pPr>
    </w:p>
    <w:p w14:paraId="43E66524" w14:textId="77777777" w:rsidR="00647534" w:rsidRPr="003F7E2B" w:rsidRDefault="00647534" w:rsidP="00647534">
      <w:pPr>
        <w:pStyle w:val="Corpsdetexte"/>
        <w:snapToGrid w:val="0"/>
        <w:rPr>
          <w:rFonts w:asciiTheme="minorHAnsi" w:hAnsiTheme="minorHAnsi" w:cstheme="minorHAnsi"/>
          <w:b/>
          <w:sz w:val="22"/>
          <w:szCs w:val="22"/>
        </w:rPr>
      </w:pPr>
      <w:r w:rsidRPr="003F7E2B">
        <w:rPr>
          <w:rFonts w:asciiTheme="minorHAnsi" w:hAnsiTheme="minorHAnsi" w:cstheme="minorHAnsi"/>
          <w:b/>
          <w:sz w:val="22"/>
          <w:szCs w:val="22"/>
        </w:rPr>
        <w:t>Compétences opérationnelles</w:t>
      </w:r>
    </w:p>
    <w:p w14:paraId="78C2E75F" w14:textId="77777777" w:rsidR="00647534" w:rsidRPr="003F7E2B" w:rsidRDefault="00647534" w:rsidP="00647534">
      <w:pPr>
        <w:pStyle w:val="Corpsdetexte"/>
        <w:snapToGrid w:val="0"/>
        <w:rPr>
          <w:rFonts w:asciiTheme="minorHAnsi" w:hAnsiTheme="minorHAnsi" w:cstheme="minorHAnsi"/>
          <w:sz w:val="22"/>
          <w:szCs w:val="22"/>
        </w:rPr>
      </w:pPr>
    </w:p>
    <w:p w14:paraId="68332AC9" w14:textId="77777777" w:rsidR="00647534" w:rsidRPr="00043E78" w:rsidRDefault="00647534" w:rsidP="00647534">
      <w:pPr>
        <w:pStyle w:val="Paragraphedeliste"/>
        <w:numPr>
          <w:ilvl w:val="0"/>
          <w:numId w:val="5"/>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Analyser les données comptables et financières </w:t>
      </w:r>
    </w:p>
    <w:p w14:paraId="0DFD43DA"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Appliquer des règles financières </w:t>
      </w:r>
    </w:p>
    <w:p w14:paraId="4820CC13"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Assurer le suivi des dépenses et des recettes </w:t>
      </w:r>
    </w:p>
    <w:p w14:paraId="2D41D27D"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Exécuter la dépense et la recette </w:t>
      </w:r>
    </w:p>
    <w:p w14:paraId="5134DA3A"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Savoir gérer son activité dans un calendrier et un cadre de gestion complexe </w:t>
      </w:r>
    </w:p>
    <w:p w14:paraId="73A4D495"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Savoir rendre compte </w:t>
      </w:r>
    </w:p>
    <w:p w14:paraId="157C5F74"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Communiquer et faire preuve de pédagogie </w:t>
      </w:r>
    </w:p>
    <w:p w14:paraId="5F669A6A"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Mettre en œuvre des procédures et des règles </w:t>
      </w:r>
    </w:p>
    <w:p w14:paraId="7E3EB3F7"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Travailler en équipe </w:t>
      </w:r>
    </w:p>
    <w:p w14:paraId="468AF44E"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Utiliser les logiciels spécifiques à l'activité </w:t>
      </w:r>
    </w:p>
    <w:p w14:paraId="5BCB2BA0"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Assurer une veille </w:t>
      </w:r>
    </w:p>
    <w:p w14:paraId="1C558A6B" w14:textId="77777777" w:rsidR="00647534" w:rsidRPr="00043E78" w:rsidRDefault="00647534" w:rsidP="00647534">
      <w:pPr>
        <w:pStyle w:val="Paragraphedeliste"/>
        <w:numPr>
          <w:ilvl w:val="0"/>
          <w:numId w:val="6"/>
        </w:numPr>
        <w:autoSpaceDE w:val="0"/>
        <w:autoSpaceDN w:val="0"/>
        <w:adjustRightInd w:val="0"/>
        <w:jc w:val="both"/>
        <w:rPr>
          <w:rFonts w:ascii="Calibri" w:hAnsi="Calibri" w:cs="Calibri"/>
          <w:bCs/>
          <w:color w:val="000000"/>
          <w:sz w:val="22"/>
          <w:szCs w:val="22"/>
        </w:rPr>
      </w:pPr>
      <w:r w:rsidRPr="00043E78">
        <w:rPr>
          <w:rFonts w:ascii="Calibri" w:hAnsi="Calibri" w:cs="Calibri"/>
          <w:bCs/>
          <w:color w:val="000000"/>
          <w:sz w:val="22"/>
          <w:szCs w:val="22"/>
        </w:rPr>
        <w:t xml:space="preserve">Mettre en œuvre une démarche qualité </w:t>
      </w:r>
    </w:p>
    <w:p w14:paraId="18ABF6ED" w14:textId="77777777" w:rsidR="00647534" w:rsidRPr="003F7E2B" w:rsidRDefault="00647534" w:rsidP="00647534">
      <w:pPr>
        <w:pStyle w:val="Corpsdetexte"/>
        <w:snapToGrid w:val="0"/>
        <w:rPr>
          <w:rFonts w:asciiTheme="minorHAnsi" w:hAnsiTheme="minorHAnsi" w:cstheme="minorHAnsi"/>
          <w:b/>
          <w:sz w:val="24"/>
          <w:szCs w:val="22"/>
        </w:rPr>
      </w:pPr>
    </w:p>
    <w:p w14:paraId="182CA396" w14:textId="77777777" w:rsidR="00647534" w:rsidRPr="003F7E2B" w:rsidRDefault="00647534" w:rsidP="00647534">
      <w:pPr>
        <w:pStyle w:val="Corpsdetexte"/>
        <w:snapToGrid w:val="0"/>
        <w:rPr>
          <w:rFonts w:asciiTheme="minorHAnsi" w:hAnsiTheme="minorHAnsi" w:cstheme="minorHAnsi"/>
          <w:b/>
          <w:bCs/>
          <w:sz w:val="22"/>
          <w:szCs w:val="22"/>
        </w:rPr>
      </w:pPr>
      <w:r w:rsidRPr="003F7E2B">
        <w:rPr>
          <w:rFonts w:asciiTheme="minorHAnsi" w:hAnsiTheme="minorHAnsi" w:cstheme="minorHAnsi"/>
          <w:b/>
          <w:bCs/>
          <w:sz w:val="22"/>
          <w:szCs w:val="22"/>
        </w:rPr>
        <w:t>Compétences comportementales </w:t>
      </w:r>
    </w:p>
    <w:p w14:paraId="038C81E5" w14:textId="77777777" w:rsidR="00647534" w:rsidRPr="003F7E2B" w:rsidRDefault="00647534" w:rsidP="00647534">
      <w:pPr>
        <w:pStyle w:val="Corpsdetexte"/>
        <w:snapToGrid w:val="0"/>
        <w:rPr>
          <w:rFonts w:asciiTheme="minorHAnsi" w:hAnsiTheme="minorHAnsi" w:cstheme="minorHAnsi"/>
          <w:b/>
          <w:bCs/>
          <w:sz w:val="22"/>
          <w:szCs w:val="22"/>
        </w:rPr>
      </w:pPr>
    </w:p>
    <w:p w14:paraId="405FDDD9" w14:textId="77777777" w:rsidR="00647534" w:rsidRDefault="00647534" w:rsidP="00647534">
      <w:pPr>
        <w:pStyle w:val="Paragraphedeliste"/>
        <w:numPr>
          <w:ilvl w:val="0"/>
          <w:numId w:val="6"/>
        </w:numPr>
        <w:jc w:val="both"/>
        <w:rPr>
          <w:rFonts w:asciiTheme="minorHAnsi" w:hAnsiTheme="minorHAnsi" w:cstheme="minorHAnsi"/>
          <w:sz w:val="22"/>
        </w:rPr>
      </w:pPr>
      <w:r w:rsidRPr="006B13C3">
        <w:rPr>
          <w:rFonts w:asciiTheme="minorHAnsi" w:hAnsiTheme="minorHAnsi" w:cstheme="minorHAnsi"/>
          <w:sz w:val="22"/>
        </w:rPr>
        <w:t xml:space="preserve">Sens de la confidentialité </w:t>
      </w:r>
    </w:p>
    <w:p w14:paraId="38CE9564" w14:textId="77777777" w:rsidR="00647534" w:rsidRPr="006B13C3" w:rsidRDefault="00647534" w:rsidP="00647534">
      <w:pPr>
        <w:pStyle w:val="Paragraphedeliste"/>
        <w:numPr>
          <w:ilvl w:val="0"/>
          <w:numId w:val="6"/>
        </w:numPr>
        <w:jc w:val="both"/>
        <w:rPr>
          <w:rFonts w:asciiTheme="minorHAnsi" w:hAnsiTheme="minorHAnsi" w:cstheme="minorHAnsi"/>
          <w:sz w:val="22"/>
        </w:rPr>
      </w:pPr>
      <w:r w:rsidRPr="006B13C3">
        <w:rPr>
          <w:rFonts w:asciiTheme="minorHAnsi" w:hAnsiTheme="minorHAnsi" w:cstheme="minorHAnsi"/>
          <w:sz w:val="22"/>
        </w:rPr>
        <w:t>Rigueur / Fiabilité</w:t>
      </w:r>
      <w:bookmarkEnd w:id="2"/>
    </w:p>
    <w:p w14:paraId="2E5C1313" w14:textId="77777777" w:rsidR="00D85A82" w:rsidRDefault="00D85A82"/>
    <w:sectPr w:rsidR="00D85A82" w:rsidSect="008B10A5">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AB59" w14:textId="77777777" w:rsidR="00492EC6" w:rsidRDefault="00492EC6">
      <w:r>
        <w:separator/>
      </w:r>
    </w:p>
  </w:endnote>
  <w:endnote w:type="continuationSeparator" w:id="0">
    <w:p w14:paraId="18691894" w14:textId="77777777" w:rsidR="00492EC6" w:rsidRDefault="0049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E2B6" w14:textId="77777777" w:rsidR="00492EC6" w:rsidRDefault="00461A59">
    <w:pPr>
      <w:pStyle w:val="Pieddepage"/>
    </w:pPr>
    <w:r>
      <w:t xml:space="preserve">EHESS – Concours 2024 – Interne – Gestionnaire </w:t>
    </w:r>
    <w:r w:rsidRPr="00D2632F">
      <w:t xml:space="preserve">financier·ière </w:t>
    </w:r>
    <w:r>
      <w:t>et comptable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435B" w14:textId="77777777" w:rsidR="00492EC6" w:rsidRDefault="00492EC6">
      <w:r>
        <w:separator/>
      </w:r>
    </w:p>
  </w:footnote>
  <w:footnote w:type="continuationSeparator" w:id="0">
    <w:p w14:paraId="06DCC5A4" w14:textId="77777777" w:rsidR="00492EC6" w:rsidRDefault="0049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707D" w14:textId="77777777" w:rsidR="00492EC6" w:rsidRDefault="00461A59" w:rsidP="008B10A5">
    <w:pPr>
      <w:pStyle w:val="En-tte"/>
      <w:rPr>
        <w:b/>
      </w:rPr>
    </w:pPr>
    <w:bookmarkStart w:id="3" w:name="_Hlk126254094"/>
    <w:r>
      <w:rPr>
        <w:noProof/>
      </w:rPr>
      <w:drawing>
        <wp:anchor distT="0" distB="0" distL="114300" distR="114300" simplePos="0" relativeHeight="251659264" behindDoc="0" locked="0" layoutInCell="1" allowOverlap="1" wp14:anchorId="2323A994" wp14:editId="2A2D4D70">
          <wp:simplePos x="0" y="0"/>
          <wp:positionH relativeFrom="column">
            <wp:posOffset>-594995</wp:posOffset>
          </wp:positionH>
          <wp:positionV relativeFrom="paragraph">
            <wp:posOffset>-306705</wp:posOffset>
          </wp:positionV>
          <wp:extent cx="819150" cy="814861"/>
          <wp:effectExtent l="0" t="0" r="0" b="0"/>
          <wp:wrapNone/>
          <wp:docPr id="1" name="Image 1" descr="https://www.ehess.fr/sites/default/files/logo_ehess_2021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hess.fr/sites/default/files/logo_ehess_2021_rv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486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507C0B">
      <w:rPr>
        <w:b/>
      </w:rPr>
      <w:t>Ministère de l’Enseignement Supérieur et de la Recherche</w:t>
    </w:r>
  </w:p>
  <w:p w14:paraId="40B42016" w14:textId="77777777" w:rsidR="00492EC6" w:rsidRDefault="00461A59" w:rsidP="008B10A5">
    <w:pPr>
      <w:pStyle w:val="En-tte"/>
      <w:jc w:val="center"/>
      <w:rPr>
        <w:b/>
      </w:rPr>
    </w:pPr>
    <w:r>
      <w:rPr>
        <w:b/>
      </w:rPr>
      <w:t>ECOLE DES HAUTES ETUDES EN SCIENCES SOCIALES</w:t>
    </w:r>
  </w:p>
  <w:bookmarkEnd w:id="3"/>
  <w:p w14:paraId="593FBA12" w14:textId="77777777" w:rsidR="00492EC6" w:rsidRDefault="00492E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871"/>
    <w:multiLevelType w:val="hybridMultilevel"/>
    <w:tmpl w:val="BE7E89BC"/>
    <w:lvl w:ilvl="0" w:tplc="380EBAFC">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57D09"/>
    <w:multiLevelType w:val="hybridMultilevel"/>
    <w:tmpl w:val="124AE30A"/>
    <w:lvl w:ilvl="0" w:tplc="380EBAFC">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041ABC"/>
    <w:multiLevelType w:val="hybridMultilevel"/>
    <w:tmpl w:val="8FDC870C"/>
    <w:lvl w:ilvl="0" w:tplc="380EBAFC">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984861"/>
    <w:multiLevelType w:val="hybridMultilevel"/>
    <w:tmpl w:val="CB76E77A"/>
    <w:lvl w:ilvl="0" w:tplc="380EBAFC">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F25A8B"/>
    <w:multiLevelType w:val="hybridMultilevel"/>
    <w:tmpl w:val="9B162E66"/>
    <w:lvl w:ilvl="0" w:tplc="380EBAFC">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D832BC"/>
    <w:multiLevelType w:val="hybridMultilevel"/>
    <w:tmpl w:val="3DC62866"/>
    <w:lvl w:ilvl="0" w:tplc="380EBAFC">
      <w:start w:val="1"/>
      <w:numFmt w:val="bullet"/>
      <w:lvlText w:val="-"/>
      <w:lvlJc w:val="lef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4413801">
    <w:abstractNumId w:val="5"/>
  </w:num>
  <w:num w:numId="2" w16cid:durableId="813985934">
    <w:abstractNumId w:val="0"/>
  </w:num>
  <w:num w:numId="3" w16cid:durableId="817650238">
    <w:abstractNumId w:val="4"/>
  </w:num>
  <w:num w:numId="4" w16cid:durableId="102967999">
    <w:abstractNumId w:val="2"/>
  </w:num>
  <w:num w:numId="5" w16cid:durableId="918908659">
    <w:abstractNumId w:val="1"/>
  </w:num>
  <w:num w:numId="6" w16cid:durableId="1184708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34"/>
    <w:rsid w:val="00047CB0"/>
    <w:rsid w:val="003C4EB4"/>
    <w:rsid w:val="00461A59"/>
    <w:rsid w:val="00492EC6"/>
    <w:rsid w:val="004D74FE"/>
    <w:rsid w:val="00647534"/>
    <w:rsid w:val="00804E6D"/>
    <w:rsid w:val="00D85A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DA85"/>
  <w15:chartTrackingRefBased/>
  <w15:docId w15:val="{016E1135-3914-4B45-9810-E1729E04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53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7534"/>
    <w:pPr>
      <w:tabs>
        <w:tab w:val="center" w:pos="4536"/>
        <w:tab w:val="right" w:pos="9072"/>
      </w:tabs>
    </w:pPr>
  </w:style>
  <w:style w:type="character" w:customStyle="1" w:styleId="En-tteCar">
    <w:name w:val="En-tête Car"/>
    <w:basedOn w:val="Policepardfaut"/>
    <w:link w:val="En-tte"/>
    <w:uiPriority w:val="99"/>
    <w:rsid w:val="0064753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47534"/>
    <w:pPr>
      <w:tabs>
        <w:tab w:val="center" w:pos="4536"/>
        <w:tab w:val="right" w:pos="9072"/>
      </w:tabs>
    </w:pPr>
  </w:style>
  <w:style w:type="character" w:customStyle="1" w:styleId="PieddepageCar">
    <w:name w:val="Pied de page Car"/>
    <w:basedOn w:val="Policepardfaut"/>
    <w:link w:val="Pieddepage"/>
    <w:uiPriority w:val="99"/>
    <w:rsid w:val="00647534"/>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47534"/>
    <w:rPr>
      <w:color w:val="0563C1" w:themeColor="hyperlink"/>
      <w:u w:val="single"/>
    </w:rPr>
  </w:style>
  <w:style w:type="paragraph" w:styleId="Corpsdetexte">
    <w:name w:val="Body Text"/>
    <w:basedOn w:val="Normal"/>
    <w:link w:val="CorpsdetexteCar"/>
    <w:rsid w:val="00647534"/>
    <w:pPr>
      <w:suppressAutoHyphens/>
      <w:jc w:val="both"/>
    </w:pPr>
    <w:rPr>
      <w:sz w:val="20"/>
      <w:szCs w:val="20"/>
      <w:lang w:eastAsia="ar-SA"/>
    </w:rPr>
  </w:style>
  <w:style w:type="character" w:customStyle="1" w:styleId="CorpsdetexteCar">
    <w:name w:val="Corps de texte Car"/>
    <w:basedOn w:val="Policepardfaut"/>
    <w:link w:val="Corpsdetexte"/>
    <w:rsid w:val="00647534"/>
    <w:rPr>
      <w:rFonts w:ascii="Times New Roman" w:eastAsia="Times New Roman" w:hAnsi="Times New Roman" w:cs="Times New Roman"/>
      <w:sz w:val="20"/>
      <w:szCs w:val="20"/>
      <w:lang w:eastAsia="ar-SA"/>
    </w:rPr>
  </w:style>
  <w:style w:type="paragraph" w:customStyle="1" w:styleId="Default">
    <w:name w:val="Default"/>
    <w:rsid w:val="00647534"/>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Paragraphedeliste">
    <w:name w:val="List Paragraph"/>
    <w:basedOn w:val="Normal"/>
    <w:uiPriority w:val="34"/>
    <w:qFormat/>
    <w:rsid w:val="00647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ess.fr" TargetMode="External"/><Relationship Id="rId3" Type="http://schemas.openxmlformats.org/officeDocument/2006/relationships/settings" Target="settings.xml"/><Relationship Id="rId7" Type="http://schemas.openxmlformats.org/officeDocument/2006/relationships/hyperlink" Target="https://www.itrf.education.gouv.fr/itr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EL MIR JALLOUL</dc:creator>
  <cp:keywords/>
  <dc:description/>
  <cp:lastModifiedBy>Marie Gabon</cp:lastModifiedBy>
  <cp:revision>3</cp:revision>
  <dcterms:created xsi:type="dcterms:W3CDTF">2026-04-13T06:41:00Z</dcterms:created>
  <dcterms:modified xsi:type="dcterms:W3CDTF">2026-05-06T06:58:00Z</dcterms:modified>
</cp:coreProperties>
</file>