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3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7"/>
        <w:gridCol w:w="5525"/>
      </w:tblGrid>
      <w:tr w:rsidR="00213BFA"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  <w:b/>
              </w:rPr>
            </w:pPr>
          </w:p>
          <w:p w:rsidR="00213BFA" w:rsidRDefault="00A90062"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 xml:space="preserve">Code UE </w:t>
            </w:r>
            <w:r>
              <w:rPr>
                <w:rStyle w:val="Policepardfaut1"/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213BFA" w:rsidRDefault="00213BFA">
            <w:pPr>
              <w:rPr>
                <w:rFonts w:cs="Times New Roman"/>
                <w:b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E1541E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LH</w:t>
            </w:r>
            <w:bookmarkStart w:id="0" w:name="_GoBack"/>
            <w:bookmarkEnd w:id="0"/>
            <w:r w:rsidR="00E50615">
              <w:rPr>
                <w:rFonts w:cs="Times New Roman"/>
                <w:color w:val="000000"/>
                <w:sz w:val="22"/>
                <w:szCs w:val="22"/>
              </w:rPr>
              <w:t>HIS 427</w:t>
            </w:r>
          </w:p>
        </w:tc>
      </w:tr>
      <w:tr w:rsidR="00213BFA" w:rsidRPr="00E1541E"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  <w:b/>
              </w:rPr>
            </w:pPr>
          </w:p>
          <w:p w:rsidR="00213BFA" w:rsidRDefault="00A90062">
            <w:proofErr w:type="spellStart"/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>Intitulé</w:t>
            </w:r>
            <w:proofErr w:type="spellEnd"/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>complet</w:t>
            </w:r>
            <w:proofErr w:type="spellEnd"/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 xml:space="preserve"> de </w:t>
            </w:r>
            <w:proofErr w:type="spellStart"/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>l’UE</w:t>
            </w:r>
            <w:proofErr w:type="spellEnd"/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Policepardfaut1"/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213BFA" w:rsidRDefault="00213BFA">
            <w:pPr>
              <w:rPr>
                <w:rFonts w:cs="Times New Roman"/>
                <w:b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E50615">
            <w:pPr>
              <w:jc w:val="both"/>
              <w:rPr>
                <w:rFonts w:cs="Times New Roman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Histoire européenne de la guerre d’Espagne (1936-1939)</w:t>
            </w:r>
          </w:p>
        </w:tc>
      </w:tr>
      <w:tr w:rsidR="00213BFA" w:rsidRPr="00E50615"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Pr="00E50615" w:rsidRDefault="00213BFA">
            <w:pPr>
              <w:rPr>
                <w:rFonts w:cs="Times New Roman"/>
                <w:b/>
                <w:lang w:val="fr-FR"/>
              </w:rPr>
            </w:pPr>
          </w:p>
          <w:p w:rsidR="00213BFA" w:rsidRPr="00E50615" w:rsidRDefault="00E50615">
            <w:pPr>
              <w:rPr>
                <w:lang w:val="fr-FR"/>
              </w:rPr>
            </w:pPr>
            <w:r w:rsidRPr="00E50615">
              <w:rPr>
                <w:rStyle w:val="Policepardfaut1"/>
                <w:rFonts w:cs="Times New Roman"/>
                <w:b/>
                <w:sz w:val="22"/>
                <w:szCs w:val="22"/>
                <w:lang w:val="fr-FR"/>
              </w:rPr>
              <w:t>Enseignant(e)s responsa</w:t>
            </w:r>
            <w:r w:rsidR="00A90062" w:rsidRPr="00E50615">
              <w:rPr>
                <w:rStyle w:val="Policepardfaut1"/>
                <w:rFonts w:cs="Times New Roman"/>
                <w:b/>
                <w:sz w:val="22"/>
                <w:szCs w:val="22"/>
                <w:lang w:val="fr-FR"/>
              </w:rPr>
              <w:t xml:space="preserve">ble(s) </w:t>
            </w:r>
            <w:r w:rsidR="00A90062" w:rsidRPr="00E50615">
              <w:rPr>
                <w:rStyle w:val="Policepardfaut1"/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:rsidR="00213BFA" w:rsidRDefault="00213BFA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E50615" w:rsidP="00A90062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Caroline Moine</w:t>
            </w:r>
            <w:r w:rsidR="00A90062"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</w:p>
        </w:tc>
      </w:tr>
      <w:tr w:rsidR="00213BFA" w:rsidRPr="00E1541E"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  <w:b/>
                <w:lang w:val="fr-FR"/>
              </w:rPr>
            </w:pPr>
          </w:p>
          <w:p w:rsidR="00213BFA" w:rsidRDefault="00A90062">
            <w:pPr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Enseignant(e)s dispensant l’UE</w:t>
            </w:r>
          </w:p>
          <w:p w:rsidR="00213BFA" w:rsidRDefault="00A90062">
            <w:pPr>
              <w:rPr>
                <w:rFonts w:cs="Times New Roman"/>
                <w:bCs/>
                <w:i/>
                <w:iCs/>
                <w:lang w:val="fr-FR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</w:t>
            </w:r>
            <w:proofErr w:type="gramStart"/>
            <w:r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à</w:t>
            </w:r>
            <w:proofErr w:type="gramEnd"/>
            <w:r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 xml:space="preserve"> remplir si plusieurs)</w:t>
            </w:r>
          </w:p>
          <w:p w:rsidR="00213BFA" w:rsidRDefault="00213BFA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E50615" w:rsidP="00A90062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Caroline Moine</w:t>
            </w:r>
            <w:r w:rsidR="00CD1167">
              <w:rPr>
                <w:rFonts w:cs="Times New Roman"/>
                <w:sz w:val="22"/>
                <w:szCs w:val="22"/>
                <w:lang w:val="fr-FR"/>
              </w:rPr>
              <w:t> </w:t>
            </w:r>
            <w:r w:rsidR="00A90062">
              <w:rPr>
                <w:rFonts w:cs="Times New Roman"/>
                <w:sz w:val="22"/>
                <w:szCs w:val="22"/>
                <w:lang w:val="fr-FR"/>
              </w:rPr>
              <w:t>(</w:t>
            </w:r>
            <w:r w:rsidR="00CD1167">
              <w:rPr>
                <w:rFonts w:cs="Times New Roman"/>
                <w:sz w:val="22"/>
                <w:szCs w:val="22"/>
                <w:lang w:val="fr-FR"/>
              </w:rPr>
              <w:t>CM et TD</w:t>
            </w:r>
            <w:r w:rsidR="00A90062">
              <w:rPr>
                <w:rFonts w:cs="Times New Roman"/>
                <w:sz w:val="22"/>
                <w:szCs w:val="22"/>
                <w:lang w:val="fr-FR"/>
              </w:rPr>
              <w:t>)</w:t>
            </w:r>
          </w:p>
        </w:tc>
      </w:tr>
      <w:tr w:rsidR="00213BFA"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  <w:b/>
                <w:lang w:val="fr-FR"/>
              </w:rPr>
            </w:pPr>
          </w:p>
          <w:p w:rsidR="00213BFA" w:rsidRPr="00E50615" w:rsidRDefault="00A90062">
            <w:pPr>
              <w:rPr>
                <w:lang w:val="fr-FR"/>
              </w:rPr>
            </w:pPr>
            <w:r>
              <w:rPr>
                <w:rStyle w:val="Policepardfaut1"/>
                <w:rFonts w:cs="Times New Roman"/>
                <w:b/>
                <w:sz w:val="22"/>
                <w:szCs w:val="22"/>
                <w:lang w:val="fr-FR"/>
              </w:rPr>
              <w:t xml:space="preserve">Parcours dans lequel s’inscrit l’UE </w:t>
            </w:r>
            <w:r>
              <w:rPr>
                <w:rStyle w:val="Policepardfaut1"/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:rsidR="00213BFA" w:rsidRDefault="00213BFA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A90062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P1 + P2 + P3</w:t>
            </w:r>
          </w:p>
        </w:tc>
      </w:tr>
      <w:tr w:rsidR="00213BFA"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  <w:b/>
              </w:rPr>
            </w:pPr>
          </w:p>
          <w:p w:rsidR="00213BFA" w:rsidRDefault="00A90062">
            <w:proofErr w:type="spellStart"/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>Semestre</w:t>
            </w:r>
            <w:proofErr w:type="spellEnd"/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Policepardfaut1"/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213BFA" w:rsidRDefault="00213BFA">
            <w:pPr>
              <w:rPr>
                <w:rFonts w:cs="Times New Roman"/>
                <w:b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A90062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sem. 4</w:t>
            </w:r>
          </w:p>
        </w:tc>
      </w:tr>
      <w:tr w:rsidR="00213BFA"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  <w:b/>
              </w:rPr>
            </w:pPr>
          </w:p>
          <w:p w:rsidR="00213BFA" w:rsidRDefault="00A90062">
            <w:proofErr w:type="spellStart"/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>Nombre</w:t>
            </w:r>
            <w:proofErr w:type="spellEnd"/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 xml:space="preserve"> total </w:t>
            </w:r>
            <w:proofErr w:type="spellStart"/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>d’ECTS</w:t>
            </w:r>
            <w:proofErr w:type="spellEnd"/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Style w:val="Policepardfaut1"/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213BFA" w:rsidRDefault="00213BFA">
            <w:pPr>
              <w:rPr>
                <w:rFonts w:cs="Times New Roman"/>
                <w:b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CD1167">
            <w:pPr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4</w:t>
            </w:r>
          </w:p>
        </w:tc>
      </w:tr>
      <w:tr w:rsidR="00213BFA"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  <w:b/>
                <w:lang w:val="fr-FR"/>
              </w:rPr>
            </w:pPr>
          </w:p>
          <w:p w:rsidR="00213BFA" w:rsidRDefault="00A90062">
            <w:r>
              <w:rPr>
                <w:rStyle w:val="Policepardfaut1"/>
                <w:rFonts w:cs="Times New Roman"/>
                <w:b/>
                <w:sz w:val="22"/>
                <w:szCs w:val="22"/>
                <w:lang w:val="fr-FR"/>
              </w:rPr>
              <w:t xml:space="preserve">Langue(s) d’enseignement </w:t>
            </w:r>
            <w:r>
              <w:rPr>
                <w:rStyle w:val="Policepardfaut1"/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213BFA" w:rsidRDefault="00213BFA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A90062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Français</w:t>
            </w:r>
          </w:p>
        </w:tc>
      </w:tr>
      <w:tr w:rsidR="00213BFA" w:rsidRPr="00E1541E"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  <w:b/>
              </w:rPr>
            </w:pPr>
          </w:p>
          <w:p w:rsidR="00213BFA" w:rsidRDefault="00A90062"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 xml:space="preserve">Volume </w:t>
            </w:r>
            <w:proofErr w:type="spellStart"/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>horaire</w:t>
            </w:r>
            <w:proofErr w:type="spellEnd"/>
            <w:r>
              <w:rPr>
                <w:rStyle w:val="Policepardfaut1"/>
                <w:rFonts w:cs="Times New Roman"/>
                <w:b/>
                <w:sz w:val="22"/>
                <w:szCs w:val="22"/>
              </w:rPr>
              <w:t xml:space="preserve"> total </w:t>
            </w:r>
            <w:r>
              <w:rPr>
                <w:rStyle w:val="Policepardfaut1"/>
                <w:rFonts w:cs="Times New Roman"/>
                <w:b/>
                <w:color w:val="FF0000"/>
                <w:sz w:val="22"/>
                <w:szCs w:val="22"/>
              </w:rPr>
              <w:t>*</w:t>
            </w:r>
          </w:p>
          <w:p w:rsidR="00213BFA" w:rsidRDefault="00213BFA">
            <w:pPr>
              <w:rPr>
                <w:rFonts w:cs="Times New Roman"/>
                <w:b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  <w:lang w:val="fr-FR"/>
              </w:rPr>
            </w:pPr>
          </w:p>
          <w:p w:rsidR="00213BFA" w:rsidRDefault="00A90062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CM = 1 h 30 / semaine = 18 h pour le semestre</w:t>
            </w:r>
          </w:p>
          <w:p w:rsidR="00213BFA" w:rsidRDefault="00A90062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TD = 2 h / semaine = 24 h pour le semestre</w:t>
            </w:r>
          </w:p>
          <w:p w:rsidR="00213BFA" w:rsidRDefault="00213BFA">
            <w:pPr>
              <w:rPr>
                <w:rFonts w:cs="Times New Roman"/>
                <w:lang w:val="fr-FR"/>
              </w:rPr>
            </w:pPr>
          </w:p>
        </w:tc>
      </w:tr>
      <w:tr w:rsidR="00213BFA"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  <w:b/>
                <w:lang w:val="fr-FR"/>
              </w:rPr>
            </w:pPr>
          </w:p>
          <w:p w:rsidR="00213BFA" w:rsidRDefault="00A90062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Pré-requis</w:t>
            </w:r>
            <w:proofErr w:type="spellEnd"/>
          </w:p>
          <w:p w:rsidR="00213BFA" w:rsidRDefault="00213BFA">
            <w:pPr>
              <w:rPr>
                <w:rFonts w:cs="Times New Roman"/>
                <w:b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A90062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Ø</w:t>
            </w:r>
          </w:p>
        </w:tc>
      </w:tr>
      <w:tr w:rsidR="00213BFA" w:rsidRPr="00E1541E"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  <w:b/>
                <w:lang w:val="fr-FR"/>
              </w:rPr>
            </w:pPr>
          </w:p>
          <w:p w:rsidR="00213BFA" w:rsidRDefault="00A90062">
            <w:pPr>
              <w:rPr>
                <w:rFonts w:cs="Times New Roman"/>
                <w:b/>
                <w:lang w:val="fr-FR"/>
              </w:rPr>
            </w:pPr>
            <w:r>
              <w:rPr>
                <w:rFonts w:cs="Times New Roman"/>
                <w:b/>
                <w:sz w:val="22"/>
                <w:szCs w:val="22"/>
                <w:lang w:val="fr-FR"/>
              </w:rPr>
              <w:t>Descriptif et/ou objectif(s)</w:t>
            </w:r>
          </w:p>
          <w:p w:rsidR="00213BFA" w:rsidRDefault="00213BFA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0615" w:rsidRDefault="00E50615" w:rsidP="00E50615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A travers l’histoire de la guerre civile espagnole</w:t>
            </w:r>
            <w:r w:rsidR="0006124E">
              <w:rPr>
                <w:rFonts w:cs="Times New Roman"/>
                <w:sz w:val="22"/>
                <w:szCs w:val="22"/>
                <w:lang w:val="fr-FR"/>
              </w:rPr>
              <w:t xml:space="preserve">, qui dura de juillet </w:t>
            </w:r>
            <w:r>
              <w:rPr>
                <w:rFonts w:cs="Times New Roman"/>
                <w:sz w:val="22"/>
                <w:szCs w:val="22"/>
                <w:lang w:val="fr-FR"/>
              </w:rPr>
              <w:t>1936</w:t>
            </w:r>
            <w:r w:rsidR="0006124E">
              <w:rPr>
                <w:rFonts w:cs="Times New Roman"/>
                <w:sz w:val="22"/>
                <w:szCs w:val="22"/>
                <w:lang w:val="fr-FR"/>
              </w:rPr>
              <w:t xml:space="preserve"> à avril 1939</w:t>
            </w:r>
            <w:r>
              <w:rPr>
                <w:rFonts w:cs="Times New Roman"/>
                <w:sz w:val="22"/>
                <w:szCs w:val="22"/>
                <w:lang w:val="fr-FR"/>
              </w:rPr>
              <w:t>, le cours souhaite permettre de mieux comprendre les dynamiques politiques, culturelles et sociales à l’œuvre en Europe durant les années 1930, jusqu’à la veille de la Seconde Guerre mondiale.</w:t>
            </w:r>
            <w:r w:rsidR="0006124E"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fr-FR"/>
              </w:rPr>
              <w:t>Il s’agit</w:t>
            </w:r>
            <w:r w:rsidR="0006124E">
              <w:rPr>
                <w:rFonts w:cs="Times New Roman"/>
                <w:sz w:val="22"/>
                <w:szCs w:val="22"/>
                <w:lang w:val="fr-FR"/>
              </w:rPr>
              <w:t xml:space="preserve"> notamment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  <w:r w:rsidR="0006124E">
              <w:rPr>
                <w:rFonts w:cs="Times New Roman"/>
                <w:sz w:val="22"/>
                <w:szCs w:val="22"/>
                <w:lang w:val="fr-FR"/>
              </w:rPr>
              <w:t>d’analyser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la dimension internationale de cette guerre civile, sur le rôle joué dans </w:t>
            </w:r>
            <w:r w:rsidR="00A90062">
              <w:rPr>
                <w:rFonts w:cs="Times New Roman"/>
                <w:sz w:val="22"/>
                <w:szCs w:val="22"/>
                <w:lang w:val="fr-FR"/>
              </w:rPr>
              <w:t>l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e conflit par les démocraties comme les régimes autoritaires et totalitaires. Retracer l’histoire européenne de la guerre d’Espagne impose également de </w:t>
            </w:r>
            <w:r w:rsidR="0006124E">
              <w:rPr>
                <w:rFonts w:cs="Times New Roman"/>
                <w:sz w:val="22"/>
                <w:szCs w:val="22"/>
                <w:lang w:val="fr-FR"/>
              </w:rPr>
              <w:t>réfléchir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  <w:r w:rsidR="0006124E">
              <w:rPr>
                <w:rFonts w:cs="Times New Roman"/>
                <w:sz w:val="22"/>
                <w:szCs w:val="22"/>
                <w:lang w:val="fr-FR"/>
              </w:rPr>
              <w:t>aux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cs="Times New Roman"/>
                <w:sz w:val="22"/>
                <w:szCs w:val="22"/>
                <w:lang w:val="fr-FR"/>
              </w:rPr>
              <w:t>diffénts</w:t>
            </w:r>
            <w:proofErr w:type="spellEnd"/>
            <w:r>
              <w:rPr>
                <w:rFonts w:cs="Times New Roman"/>
                <w:sz w:val="22"/>
                <w:szCs w:val="22"/>
                <w:lang w:val="fr-FR"/>
              </w:rPr>
              <w:t xml:space="preserve"> types de sources et d’archives</w:t>
            </w:r>
            <w:r w:rsidR="0006124E">
              <w:rPr>
                <w:rFonts w:cs="Times New Roman"/>
                <w:sz w:val="22"/>
                <w:szCs w:val="22"/>
                <w:lang w:val="fr-FR"/>
              </w:rPr>
              <w:t xml:space="preserve"> (écrites, orales et visuelles) disponibles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. </w:t>
            </w:r>
          </w:p>
          <w:p w:rsidR="00E50615" w:rsidRDefault="0006124E" w:rsidP="00E50615">
            <w:pPr>
              <w:rPr>
                <w:rFonts w:cs="Times New Roman"/>
                <w:sz w:val="22"/>
                <w:szCs w:val="22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Le</w:t>
            </w:r>
            <w:r w:rsidR="00E50615">
              <w:rPr>
                <w:rFonts w:cs="Times New Roman"/>
                <w:sz w:val="22"/>
                <w:szCs w:val="22"/>
                <w:lang w:val="fr-FR"/>
              </w:rPr>
              <w:t xml:space="preserve"> cours contribue</w:t>
            </w:r>
            <w:r>
              <w:rPr>
                <w:rFonts w:cs="Times New Roman"/>
                <w:sz w:val="22"/>
                <w:szCs w:val="22"/>
                <w:lang w:val="fr-FR"/>
              </w:rPr>
              <w:t xml:space="preserve"> ainsi</w:t>
            </w:r>
            <w:r w:rsidR="00E50615">
              <w:rPr>
                <w:rFonts w:cs="Times New Roman"/>
                <w:sz w:val="22"/>
                <w:szCs w:val="22"/>
                <w:lang w:val="fr-FR"/>
              </w:rPr>
              <w:t xml:space="preserve"> à l’acquisition et à l’approfondissement des connaissances et de la méthode de recherche en histoire contemporaine de la première moitié du XXe siècle. </w:t>
            </w:r>
          </w:p>
          <w:p w:rsidR="00E50615" w:rsidRDefault="00E50615" w:rsidP="00E50615">
            <w:pPr>
              <w:rPr>
                <w:rFonts w:cs="Times New Roman"/>
                <w:lang w:val="fr-FR"/>
              </w:rPr>
            </w:pPr>
          </w:p>
        </w:tc>
      </w:tr>
      <w:tr w:rsidR="00213BFA" w:rsidRPr="00E1541E"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  <w:b/>
                <w:lang w:val="fr-FR"/>
              </w:rPr>
            </w:pPr>
          </w:p>
          <w:p w:rsidR="00213BFA" w:rsidRPr="00E50615" w:rsidRDefault="00A90062">
            <w:pPr>
              <w:rPr>
                <w:lang w:val="fr-FR"/>
              </w:rPr>
            </w:pPr>
            <w:r>
              <w:rPr>
                <w:rStyle w:val="Policepardfaut1"/>
                <w:rFonts w:cs="Times New Roman"/>
                <w:b/>
                <w:sz w:val="22"/>
                <w:szCs w:val="22"/>
                <w:lang w:val="fr-FR"/>
              </w:rPr>
              <w:t xml:space="preserve">Contrôle des connaissances </w:t>
            </w:r>
            <w:r>
              <w:rPr>
                <w:rStyle w:val="Policepardfaut1"/>
                <w:rFonts w:cs="Times New Roman"/>
                <w:b/>
                <w:color w:val="FF0000"/>
                <w:sz w:val="22"/>
                <w:szCs w:val="22"/>
                <w:lang w:val="fr-FR"/>
              </w:rPr>
              <w:t>*</w:t>
            </w:r>
          </w:p>
          <w:p w:rsidR="00213BFA" w:rsidRDefault="00A90062">
            <w:pPr>
              <w:rPr>
                <w:rFonts w:cs="Times New Roman"/>
                <w:bCs/>
                <w:i/>
                <w:iCs/>
                <w:lang w:val="fr-FR"/>
              </w:rPr>
            </w:pPr>
            <w:r>
              <w:rPr>
                <w:rFonts w:cs="Times New Roman"/>
                <w:bCs/>
                <w:i/>
                <w:iCs/>
                <w:sz w:val="22"/>
                <w:szCs w:val="22"/>
                <w:lang w:val="fr-FR"/>
              </w:rPr>
              <w:t>(Sous réserve de modification)</w:t>
            </w:r>
          </w:p>
          <w:p w:rsidR="00213BFA" w:rsidRDefault="00213BFA">
            <w:pPr>
              <w:rPr>
                <w:rFonts w:cs="Times New Roman"/>
                <w:b/>
                <w:lang w:val="fr-FR"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E50615" w:rsidP="00E50615">
            <w:pPr>
              <w:rPr>
                <w:rFonts w:cs="Times New Roman"/>
                <w:lang w:val="fr-FR"/>
              </w:rPr>
            </w:pPr>
            <w:r>
              <w:rPr>
                <w:rFonts w:cs="Times New Roman"/>
                <w:sz w:val="22"/>
                <w:szCs w:val="22"/>
                <w:lang w:val="fr-FR"/>
              </w:rPr>
              <w:t>Contrôle continu (50%) et examen terminal de 3 heures (50%).</w:t>
            </w:r>
          </w:p>
        </w:tc>
      </w:tr>
      <w:tr w:rsidR="00213BFA" w:rsidRPr="00E50615">
        <w:trPr>
          <w:trHeight w:val="396"/>
        </w:trPr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Pr="00E50615" w:rsidRDefault="00213BFA">
            <w:pPr>
              <w:rPr>
                <w:rFonts w:cs="Times New Roman"/>
                <w:b/>
                <w:lang w:val="fr-FR"/>
              </w:rPr>
            </w:pPr>
          </w:p>
          <w:p w:rsidR="00213BFA" w:rsidRDefault="00A90062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Bibliographie</w:t>
            </w:r>
            <w:proofErr w:type="spellEnd"/>
          </w:p>
          <w:p w:rsidR="00213BFA" w:rsidRDefault="00213BFA">
            <w:pPr>
              <w:rPr>
                <w:rFonts w:cs="Times New Roman"/>
                <w:b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  <w:lang w:val="fr-FR"/>
              </w:rPr>
            </w:pPr>
          </w:p>
        </w:tc>
      </w:tr>
      <w:tr w:rsidR="00213BFA">
        <w:trPr>
          <w:trHeight w:val="396"/>
        </w:trPr>
        <w:tc>
          <w:tcPr>
            <w:tcW w:w="370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  <w:b/>
                <w:lang w:val="fr-FR"/>
              </w:rPr>
            </w:pPr>
          </w:p>
          <w:p w:rsidR="00213BFA" w:rsidRDefault="00A90062">
            <w:pPr>
              <w:rPr>
                <w:rFonts w:cs="Times New Roman"/>
                <w:b/>
              </w:rPr>
            </w:pPr>
            <w:proofErr w:type="spellStart"/>
            <w:r>
              <w:rPr>
                <w:rFonts w:cs="Times New Roman"/>
                <w:b/>
                <w:sz w:val="22"/>
                <w:szCs w:val="22"/>
              </w:rPr>
              <w:t>Informations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complémentaires</w:t>
            </w:r>
            <w:proofErr w:type="spellEnd"/>
          </w:p>
          <w:p w:rsidR="00213BFA" w:rsidRDefault="00213BFA">
            <w:pPr>
              <w:rPr>
                <w:rFonts w:cs="Times New Roman"/>
                <w:b/>
              </w:rPr>
            </w:pPr>
          </w:p>
        </w:tc>
        <w:tc>
          <w:tcPr>
            <w:tcW w:w="55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13BFA" w:rsidRDefault="00213BFA">
            <w:pPr>
              <w:rPr>
                <w:rFonts w:cs="Times New Roman"/>
              </w:rPr>
            </w:pPr>
          </w:p>
        </w:tc>
      </w:tr>
    </w:tbl>
    <w:p w:rsidR="00213BFA" w:rsidRDefault="00A90062">
      <w:pPr>
        <w:rPr>
          <w:rFonts w:cs="Times New Roman"/>
          <w:b/>
          <w:bCs/>
          <w:color w:val="333399"/>
          <w:sz w:val="28"/>
          <w:szCs w:val="28"/>
          <w:lang w:val="fr-FR"/>
        </w:rPr>
      </w:pPr>
      <w:r>
        <w:rPr>
          <w:rFonts w:cs="Times New Roman"/>
          <w:b/>
          <w:bCs/>
          <w:color w:val="333399"/>
          <w:sz w:val="28"/>
          <w:szCs w:val="28"/>
          <w:lang w:val="fr-FR"/>
        </w:rPr>
        <w:t>FICHE UE</w:t>
      </w:r>
    </w:p>
    <w:p w:rsidR="00213BFA" w:rsidRDefault="00213BFA">
      <w:pPr>
        <w:rPr>
          <w:i/>
          <w:iCs/>
        </w:rPr>
      </w:pPr>
    </w:p>
    <w:p w:rsidR="00213BFA" w:rsidRDefault="00A90062">
      <w:r>
        <w:rPr>
          <w:rStyle w:val="Policepardfaut1"/>
          <w:b/>
          <w:bCs/>
          <w:i/>
          <w:iCs/>
          <w:color w:val="FF0000"/>
        </w:rPr>
        <w:t>*</w:t>
      </w:r>
      <w:r>
        <w:rPr>
          <w:rStyle w:val="Policepardfaut1"/>
          <w:i/>
          <w:iCs/>
        </w:rPr>
        <w:t xml:space="preserve">A </w:t>
      </w:r>
      <w:proofErr w:type="spellStart"/>
      <w:r>
        <w:rPr>
          <w:rStyle w:val="Policepardfaut1"/>
          <w:i/>
          <w:iCs/>
        </w:rPr>
        <w:t>remplir</w:t>
      </w:r>
      <w:proofErr w:type="spellEnd"/>
      <w:r>
        <w:rPr>
          <w:rStyle w:val="Policepardfaut1"/>
          <w:i/>
          <w:iCs/>
        </w:rPr>
        <w:t xml:space="preserve"> </w:t>
      </w:r>
      <w:proofErr w:type="spellStart"/>
      <w:r>
        <w:rPr>
          <w:rStyle w:val="Policepardfaut1"/>
          <w:i/>
          <w:iCs/>
        </w:rPr>
        <w:t>obligatoirement</w:t>
      </w:r>
      <w:proofErr w:type="spellEnd"/>
    </w:p>
    <w:sectPr w:rsidR="00213BFA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C45" w:rsidRDefault="00A90062">
      <w:r>
        <w:separator/>
      </w:r>
    </w:p>
  </w:endnote>
  <w:endnote w:type="continuationSeparator" w:id="0">
    <w:p w:rsidR="00DB6C45" w:rsidRDefault="00A90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</w:font>
  <w:font w:name="Gill Sans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B2" w:rsidRDefault="00E1541E">
    <w:pPr>
      <w:pStyle w:val="Pieddepage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B2" w:rsidRDefault="00E1541E">
    <w:pPr>
      <w:pStyle w:val="Pieddepage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C45" w:rsidRDefault="00A90062">
      <w:r>
        <w:rPr>
          <w:color w:val="000000"/>
        </w:rPr>
        <w:separator/>
      </w:r>
    </w:p>
  </w:footnote>
  <w:footnote w:type="continuationSeparator" w:id="0">
    <w:p w:rsidR="00DB6C45" w:rsidRDefault="00A90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B2" w:rsidRDefault="00E1541E">
    <w:pPr>
      <w:pStyle w:val="En-tte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3B2" w:rsidRDefault="00E1541E">
    <w:pPr>
      <w:pStyle w:val="En-t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D5F74"/>
    <w:multiLevelType w:val="multilevel"/>
    <w:tmpl w:val="3AFEB45E"/>
    <w:styleLink w:val="WWNum1"/>
    <w:lvl w:ilvl="0">
      <w:numFmt w:val="bullet"/>
      <w:lvlText w:val=""/>
      <w:lvlJc w:val="left"/>
      <w:pPr>
        <w:ind w:left="720" w:hanging="360"/>
      </w:pPr>
      <w:rPr>
        <w:rFonts w:ascii="Times New Roman" w:eastAsia="SimSun" w:hAnsi="Times New Roman" w:cs="Times New Roman"/>
        <w:b/>
        <w:color w:val="FF000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" w15:restartNumberingAfterBreak="0">
    <w:nsid w:val="0CED0EFF"/>
    <w:multiLevelType w:val="multilevel"/>
    <w:tmpl w:val="F1365CB4"/>
    <w:styleLink w:val="WWNum2"/>
    <w:lvl w:ilvl="0">
      <w:numFmt w:val="bullet"/>
      <w:lvlText w:val=""/>
      <w:lvlJc w:val="left"/>
      <w:pPr>
        <w:ind w:left="720" w:hanging="360"/>
      </w:pPr>
      <w:rPr>
        <w:rFonts w:ascii="Times New Roman" w:eastAsia="SimSun" w:hAnsi="Times New Roman" w:cs="Mang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FA"/>
    <w:rsid w:val="0006124E"/>
    <w:rsid w:val="00213BFA"/>
    <w:rsid w:val="00A90062"/>
    <w:rsid w:val="00CD1167"/>
    <w:rsid w:val="00DB6C45"/>
    <w:rsid w:val="00E1541E"/>
    <w:rsid w:val="00E50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A3FFE"/>
  <w15:docId w15:val="{7C189249-7C87-4DEE-9019-5E4DD3E4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Arial Unicode MS" w:hAnsi="Calibri" w:cs="Calibri"/>
        <w:kern w:val="3"/>
        <w:sz w:val="22"/>
        <w:szCs w:val="22"/>
        <w:lang w:val="fr-FR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Gill Sans" w:eastAsia="Arial Unicode MS" w:hAnsi="Gill Sans" w:cs="Arial Unicode MS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e">
    <w:name w:val="List"/>
    <w:basedOn w:val="Textbody"/>
    <w:rPr>
      <w:rFonts w:ascii="Gill Sans" w:hAnsi="Gill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ascii="Gill Sans" w:hAnsi="Gill Sans"/>
      <w:i/>
      <w:iCs/>
    </w:rPr>
  </w:style>
  <w:style w:type="paragraph" w:customStyle="1" w:styleId="Index">
    <w:name w:val="Index"/>
    <w:basedOn w:val="Normal"/>
    <w:pPr>
      <w:suppressLineNumbers/>
    </w:pPr>
    <w:rPr>
      <w:rFonts w:ascii="Gill Sans" w:hAnsi="Gill Sans"/>
    </w:rPr>
  </w:style>
  <w:style w:type="paragraph" w:customStyle="1" w:styleId="Paragraphedeliste1">
    <w:name w:val="Paragraphe de liste1"/>
    <w:basedOn w:val="Normal"/>
    <w:pPr>
      <w:ind w:left="720"/>
    </w:pPr>
    <w:rPr>
      <w:szCs w:val="21"/>
    </w:rPr>
  </w:style>
  <w:style w:type="paragraph" w:customStyle="1" w:styleId="En-tte1">
    <w:name w:val="En-tête1"/>
    <w:basedOn w:val="Normal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Pieddepage1">
    <w:name w:val="Pied de page1"/>
    <w:basedOn w:val="Normal"/>
    <w:pPr>
      <w:suppressLineNumbers/>
      <w:tabs>
        <w:tab w:val="center" w:pos="4536"/>
        <w:tab w:val="right" w:pos="9072"/>
      </w:tabs>
    </w:pPr>
    <w:rPr>
      <w:szCs w:val="21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En-tteCar">
    <w:name w:val="En-tête Car"/>
    <w:basedOn w:val="Policepardfaut1"/>
    <w:rPr>
      <w:rFonts w:ascii="Times New Roman" w:eastAsia="SimSun" w:hAnsi="Times New Roman" w:cs="Mangal"/>
      <w:kern w:val="3"/>
      <w:sz w:val="24"/>
      <w:szCs w:val="21"/>
      <w:lang w:val="en-US" w:eastAsia="hi-IN" w:bidi="hi-IN"/>
    </w:rPr>
  </w:style>
  <w:style w:type="character" w:customStyle="1" w:styleId="PieddepageCar">
    <w:name w:val="Pied de page Car"/>
    <w:basedOn w:val="Policepardfaut1"/>
    <w:rPr>
      <w:rFonts w:ascii="Times New Roman" w:eastAsia="SimSun" w:hAnsi="Times New Roman" w:cs="Mangal"/>
      <w:kern w:val="3"/>
      <w:sz w:val="24"/>
      <w:szCs w:val="21"/>
      <w:lang w:val="en-US" w:eastAsia="hi-IN" w:bidi="hi-IN"/>
    </w:rPr>
  </w:style>
  <w:style w:type="character" w:customStyle="1" w:styleId="ListLabel1">
    <w:name w:val="ListLabel 1"/>
    <w:rPr>
      <w:rFonts w:eastAsia="SimSun" w:cs="Times New Roman"/>
      <w:b/>
      <w:color w:val="FF0000"/>
      <w:sz w:val="2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SimSun" w:cs="Mangal"/>
    </w:rPr>
  </w:style>
  <w:style w:type="numbering" w:customStyle="1" w:styleId="WWNum1">
    <w:name w:val="WWNum1"/>
    <w:basedOn w:val="Aucuneliste"/>
    <w:pPr>
      <w:numPr>
        <w:numId w:val="1"/>
      </w:numPr>
    </w:pPr>
  </w:style>
  <w:style w:type="numbering" w:customStyle="1" w:styleId="WWNum2">
    <w:name w:val="WWNum2"/>
    <w:basedOn w:val="Aucuneliste"/>
    <w:pPr>
      <w:numPr>
        <w:numId w:val="2"/>
      </w:numPr>
    </w:pPr>
  </w:style>
  <w:style w:type="paragraph" w:styleId="En-tte">
    <w:name w:val="header"/>
    <w:basedOn w:val="Normal"/>
    <w:link w:val="En-tteCar1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1">
    <w:name w:val="En-tête Car1"/>
    <w:basedOn w:val="Policepardfaut"/>
    <w:link w:val="En-tte"/>
    <w:uiPriority w:val="99"/>
    <w:rPr>
      <w:rFonts w:ascii="Times New Roman" w:eastAsia="SimSun" w:hAnsi="Times New Roman" w:cs="Mangal"/>
      <w:sz w:val="24"/>
      <w:szCs w:val="21"/>
      <w:lang w:val="en-US" w:eastAsia="hi-IN" w:bidi="hi-IN"/>
    </w:rPr>
  </w:style>
  <w:style w:type="paragraph" w:styleId="Pieddepage">
    <w:name w:val="footer"/>
    <w:basedOn w:val="Normal"/>
    <w:link w:val="PieddepageCar1"/>
    <w:uiPriority w:val="99"/>
    <w:unhideWhenUsed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Pr>
      <w:rFonts w:ascii="Times New Roman" w:eastAsia="SimSun" w:hAnsi="Times New Roman" w:cs="Mangal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1338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mendy</dc:creator>
  <cp:lastModifiedBy>Carole Mendy</cp:lastModifiedBy>
  <cp:revision>2</cp:revision>
  <dcterms:created xsi:type="dcterms:W3CDTF">2022-01-14T09:04:00Z</dcterms:created>
  <dcterms:modified xsi:type="dcterms:W3CDTF">2022-01-14T09:04:00Z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