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Y="2671" w:topFromText="0" w:vertAnchor="page"/>
        <w:tblW w:w="923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3707"/>
        <w:gridCol w:w="5524"/>
      </w:tblGrid>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Code UE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rFonts w:cs="Times New Roman"/>
                <w:color w:val="000000"/>
                <w:sz w:val="22"/>
                <w:szCs w:val="22"/>
              </w:rPr>
            </w:pPr>
            <w:r>
              <w:rPr>
                <w:rStyle w:val="Resnav"/>
              </w:rPr>
              <w:t>LHHIS562</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Intitulé complet de l’UE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88"/>
              <w:jc w:val="center"/>
              <w:rPr>
                <w:rFonts w:cs="Calibri" w:cstheme="minorHAnsi"/>
                <w:sz w:val="22"/>
                <w:szCs w:val="22"/>
              </w:rPr>
            </w:pPr>
            <w:r>
              <w:rPr>
                <w:rFonts w:cs="Times New Roman"/>
                <w:sz w:val="22"/>
                <w:szCs w:val="22"/>
                <w:lang w:val="fr-FR"/>
              </w:rPr>
              <w:t xml:space="preserve">Histoire contemporaine 2 - </w:t>
            </w:r>
            <w:r>
              <w:rPr>
                <w:rFonts w:cs="Calibri" w:cstheme="minorHAnsi"/>
                <w:i/>
                <w:iCs/>
                <w:sz w:val="22"/>
                <w:szCs w:val="22"/>
              </w:rPr>
              <w:t xml:space="preserve"> Rwanda, une histoire politique et culturelle du génocide des Tutsi</w:t>
            </w:r>
            <w:r>
              <w:rPr>
                <w:rFonts w:cs="Calibri" w:cstheme="minorHAnsi"/>
                <w:sz w:val="22"/>
                <w:szCs w:val="22"/>
              </w:rPr>
              <w:t xml:space="preserve"> </w:t>
            </w:r>
          </w:p>
          <w:p>
            <w:pPr>
              <w:pStyle w:val="Normal"/>
              <w:widowControl w:val="false"/>
              <w:snapToGrid w:val="false"/>
              <w:jc w:val="both"/>
              <w:rPr>
                <w:rFonts w:cs="Times New Roman"/>
                <w:sz w:val="22"/>
                <w:szCs w:val="22"/>
                <w:lang w:val="fr-FR"/>
              </w:rPr>
            </w:pPr>
            <w:r>
              <w:rPr>
                <w:rFonts w:cs="Times New Roman"/>
                <w:sz w:val="22"/>
                <w:szCs w:val="22"/>
                <w:lang w:val="fr-FR"/>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Enseignant(e)s responsible(s) </w:t>
            </w:r>
            <w:r>
              <w:rPr>
                <w:rFonts w:cs="Times New Roman"/>
                <w:b/>
                <w:color w:val="FF0000"/>
                <w:sz w:val="22"/>
                <w:szCs w:val="22"/>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François ROBINET</w:t>
            </w:r>
          </w:p>
          <w:p>
            <w:pPr>
              <w:pStyle w:val="Normal"/>
              <w:widowControl w:val="false"/>
              <w:snapToGrid w:val="false"/>
              <w:rPr>
                <w:rFonts w:cs="Times New Roman"/>
                <w:sz w:val="22"/>
                <w:szCs w:val="22"/>
                <w:lang w:val="fr-FR"/>
              </w:rPr>
            </w:pPr>
            <w:hyperlink r:id="rId2">
              <w:r>
                <w:rPr>
                  <w:rStyle w:val="LienInternet"/>
                </w:rPr>
                <w:t>f</w:t>
              </w:r>
              <w:r>
                <w:rPr>
                  <w:rStyle w:val="LienInternet"/>
                  <w:rFonts w:cs="Times New Roman"/>
                  <w:sz w:val="22"/>
                  <w:szCs w:val="22"/>
                  <w:lang w:val="fr-FR"/>
                </w:rPr>
                <w:t>rancois.robinet2@uvsq.fr</w:t>
              </w:r>
            </w:hyperlink>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Enseignant(e)s dispensant l’UE</w:t>
            </w:r>
          </w:p>
          <w:p>
            <w:pPr>
              <w:pStyle w:val="Normal"/>
              <w:widowControl w:val="false"/>
              <w:snapToGrid w:val="false"/>
              <w:rPr>
                <w:rFonts w:cs="Times New Roman"/>
                <w:bCs/>
                <w:i/>
                <w:i/>
                <w:iCs/>
                <w:sz w:val="22"/>
                <w:szCs w:val="22"/>
              </w:rPr>
            </w:pPr>
            <w:r>
              <w:rPr>
                <w:rFonts w:cs="Times New Roman"/>
                <w:bCs/>
                <w:i/>
                <w:iCs/>
                <w:sz w:val="22"/>
                <w:szCs w:val="22"/>
              </w:rPr>
              <w:t>(à remplir si plusieurs)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François ROBINET et Florent PITON</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Parcours dans lequel s’inscrit l’UE </w:t>
            </w:r>
            <w:r>
              <w:rPr>
                <w:rFonts w:cs="Times New Roman"/>
                <w:b/>
                <w:color w:val="FF0000"/>
                <w:sz w:val="22"/>
                <w:szCs w:val="22"/>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t>Licence histoire troisième année (P1, P2 et P3)</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Semestre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t>Semestre 1</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Nombre total d’ECTS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r>
          </w:p>
          <w:p>
            <w:pPr>
              <w:pStyle w:val="Normal"/>
              <w:widowControl w:val="false"/>
              <w:snapToGrid w:val="false"/>
              <w:rPr>
                <w:rFonts w:cs="Times New Roman"/>
                <w:sz w:val="22"/>
                <w:szCs w:val="22"/>
              </w:rPr>
            </w:pPr>
            <w:r>
              <w:rPr>
                <w:rFonts w:cs="Times New Roman"/>
                <w:sz w:val="22"/>
                <w:szCs w:val="22"/>
              </w:rPr>
              <w:t>4</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Langue(s) d’enseignement </w:t>
            </w:r>
            <w:r>
              <w:rPr>
                <w:rFonts w:cs="Times New Roman"/>
                <w:b/>
                <w:color w:val="FF0000"/>
                <w:sz w:val="22"/>
                <w:szCs w:val="22"/>
              </w:rPr>
              <w:t>*</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lang w:val="fr-FR"/>
              </w:rPr>
            </w:pPr>
            <w:r>
              <w:rPr>
                <w:rFonts w:cs="Times New Roman"/>
                <w:sz w:val="22"/>
                <w:szCs w:val="22"/>
                <w:lang w:val="fr-FR"/>
              </w:rPr>
            </w:r>
          </w:p>
          <w:p>
            <w:pPr>
              <w:pStyle w:val="Normal"/>
              <w:widowControl w:val="false"/>
              <w:snapToGrid w:val="false"/>
              <w:rPr>
                <w:rFonts w:cs="Times New Roman"/>
                <w:sz w:val="22"/>
                <w:szCs w:val="22"/>
                <w:lang w:val="fr-FR"/>
              </w:rPr>
            </w:pPr>
            <w:r>
              <w:rPr>
                <w:rFonts w:cs="Times New Roman"/>
                <w:sz w:val="22"/>
                <w:szCs w:val="22"/>
                <w:lang w:val="fr-FR"/>
              </w:rPr>
              <w:t>Français</w:t>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 xml:space="preserve">Volume horaire total </w:t>
            </w:r>
            <w:r>
              <w:rPr>
                <w:rFonts w:cs="Times New Roman"/>
                <w:b/>
                <w:color w:val="FF0000"/>
                <w:sz w:val="22"/>
                <w:szCs w:val="22"/>
              </w:rPr>
              <w:t>*</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r>
          </w:p>
          <w:p>
            <w:pPr>
              <w:pStyle w:val="Normal"/>
              <w:widowControl w:val="false"/>
              <w:snapToGrid w:val="false"/>
              <w:rPr>
                <w:rFonts w:cs="Times New Roman"/>
                <w:sz w:val="22"/>
                <w:szCs w:val="22"/>
              </w:rPr>
            </w:pPr>
            <w:r>
              <w:rPr>
                <w:rFonts w:cs="Times New Roman"/>
                <w:sz w:val="22"/>
                <w:szCs w:val="22"/>
              </w:rPr>
              <w:t>CM = 12</w:t>
            </w:r>
          </w:p>
          <w:p>
            <w:pPr>
              <w:pStyle w:val="Normal"/>
              <w:widowControl w:val="false"/>
              <w:snapToGrid w:val="false"/>
              <w:rPr>
                <w:rFonts w:cs="Times New Roman"/>
                <w:sz w:val="22"/>
                <w:szCs w:val="22"/>
              </w:rPr>
            </w:pPr>
            <w:r>
              <w:rPr>
                <w:rFonts w:cs="Times New Roman"/>
                <w:sz w:val="22"/>
                <w:szCs w:val="22"/>
              </w:rPr>
              <w:t>TD = 18</w:t>
            </w:r>
          </w:p>
          <w:p>
            <w:pPr>
              <w:pStyle w:val="Normal"/>
              <w:widowControl w:val="false"/>
              <w:snapToGrid w:val="false"/>
              <w:rPr>
                <w:rFonts w:cs="Times New Roman"/>
                <w:sz w:val="22"/>
                <w:szCs w:val="22"/>
              </w:rPr>
            </w:pPr>
            <w:r>
              <w:rPr>
                <w:rFonts w:cs="Times New Roman"/>
                <w:sz w:val="22"/>
                <w:szCs w:val="22"/>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Pré-requis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i/>
                <w:i/>
                <w:sz w:val="22"/>
                <w:szCs w:val="22"/>
                <w:lang w:val="fr-FR"/>
              </w:rPr>
            </w:pPr>
            <w:r>
              <w:rPr>
                <w:rFonts w:cs="Times New Roman"/>
                <w:i/>
                <w:sz w:val="22"/>
                <w:szCs w:val="22"/>
                <w:lang w:val="fr-FR"/>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Descriptif et/ou objectif(s)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88"/>
              <w:ind w:firstLine="708"/>
              <w:jc w:val="both"/>
              <w:rPr>
                <w:rFonts w:cs="Calibri" w:cstheme="minorHAnsi"/>
              </w:rPr>
            </w:pPr>
            <w:r>
              <w:rPr>
                <w:rFonts w:cs="Calibri" w:cstheme="minorHAnsi"/>
              </w:rPr>
              <w:t xml:space="preserve">D’avril à juillet 1994, plus de 800 000 personnes furent massacrées au Rwanda, principalement en raison de leur appartenance ethnique. Dans un contexte de guerre civile entre le Front patriotique rwandais (FPR) et les Forces armées rwandaises (FAR), le génocide perpétré contre les Tutsi du Rwanda impliqua une grande diversité de protagonistes (gendarmerie, FAR, milices, population civile…) grâce à la mobilisation de tous les rouages de l’État rwandais et aux spécificités des liens de voisinage. Fulgurant, le processus d’extermination fut d’une rare efficacité. </w:t>
            </w:r>
          </w:p>
          <w:p>
            <w:pPr>
              <w:pStyle w:val="Normal"/>
              <w:widowControl w:val="false"/>
              <w:spacing w:lineRule="auto" w:line="288"/>
              <w:ind w:firstLine="708"/>
              <w:jc w:val="both"/>
              <w:rPr>
                <w:rFonts w:cs="Calibri" w:cstheme="minorHAnsi"/>
              </w:rPr>
            </w:pPr>
            <w:r>
              <w:rPr>
                <w:rFonts w:cs="Calibri" w:cstheme="minorHAnsi"/>
              </w:rPr>
              <w:t xml:space="preserve">Depuis près de 25 ans, les travaux des chercheurs en sciences humaines et sociales ont permis de documenter le génocide, de recueillir de nombreux témoignages et d’établir avec certitude de nombreux faits. Ce cours permettra de donner une vision large des acquis scientifiques sur le sujet en revenant sur les conditions de possibilité du génocide lors de la période coloniale et des deux Républiques, en décrivant les rythmes, lieux et modalités des massacres et en interrogeant également les conséquences de ce génocide sur la société rwandaise. Loin d’être seulement une histoire rwando-rwandaise, ce cours se propose aussi d’interroger le rôle des grandes puissances – et plus singulièrement celui de la France – pour tenter d’éclairer les raisons de l’impuissance de la communauté internationale à prévenir puis à stopper un génocide que de nombreux signaux auraient pourtant pu permettre d’anticiper. </w:t>
            </w:r>
          </w:p>
          <w:p>
            <w:pPr>
              <w:pStyle w:val="Normal"/>
              <w:widowControl w:val="false"/>
              <w:spacing w:lineRule="auto" w:line="288"/>
              <w:ind w:firstLine="708"/>
              <w:jc w:val="both"/>
              <w:rPr>
                <w:rFonts w:cs="Calibri" w:cstheme="minorHAnsi"/>
              </w:rPr>
            </w:pPr>
            <w:r>
              <w:rPr>
                <w:rFonts w:cs="Calibri" w:cstheme="minorHAnsi"/>
              </w:rPr>
              <w:t xml:space="preserve">D’un point de vue méthodologique, il s’agira de permettre aux étudiants de nourrir une réflexion sur la nature des sources mobilisées pour écrire l’histoire de cet événement avec une attention spécifique accordée aux archives rwandaises. De ce fait, ce cours sera l’occasion de questionner les méthodes d’écriture de l’histoire du temps présent aujourd’hui en 2021 ainsi que les liens entre cette écriture et les approches mobilisées par d’autres disciplines. Sera enfin abordée la question des productions culturelles (production d’informations, documentaires, récits littéraires) comme sources pour l’écriture de l’histoire mais aussi et surtout comme source pour comprendre les modalités de fabrique des mémoires de l’événement. </w:t>
            </w:r>
          </w:p>
          <w:p>
            <w:pPr>
              <w:pStyle w:val="Normal"/>
              <w:widowControl w:val="false"/>
              <w:spacing w:lineRule="auto" w:line="288"/>
              <w:ind w:firstLine="708"/>
              <w:jc w:val="both"/>
              <w:rPr>
                <w:rFonts w:cs="Calibri" w:cstheme="minorHAnsi"/>
              </w:rPr>
            </w:pPr>
            <w:r>
              <w:rPr>
                <w:rFonts w:cs="Calibri" w:cstheme="minorHAnsi"/>
              </w:rPr>
              <w:t xml:space="preserve">C’est ainsi une histoire du génocide des Tutsi du Rwanda qui fera la part belle à l’étude des productions culturelles sans pour autant omettre de présenter la diversité des approches, des sources et des échelles d’analyse mobilisées par les spécialistes du sujet.  </w:t>
            </w:r>
          </w:p>
          <w:p>
            <w:pPr>
              <w:pStyle w:val="Normal"/>
              <w:widowControl w:val="false"/>
              <w:rPr>
                <w:rFonts w:cs="Times New Roman"/>
                <w:sz w:val="22"/>
                <w:szCs w:val="22"/>
                <w:lang w:val="fr-FR"/>
              </w:rPr>
            </w:pPr>
            <w:r>
              <w:rPr>
                <w:rFonts w:cs="Times New Roman"/>
                <w:sz w:val="22"/>
                <w:szCs w:val="22"/>
                <w:lang w:val="fr-FR"/>
              </w:rPr>
            </w:r>
          </w:p>
        </w:tc>
      </w:tr>
      <w:tr>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lang w:val="fr-FR"/>
              </w:rPr>
            </w:pPr>
            <w:r>
              <w:rPr>
                <w:rFonts w:cs="Times New Roman"/>
                <w:b/>
                <w:sz w:val="22"/>
                <w:szCs w:val="22"/>
                <w:lang w:val="fr-FR"/>
              </w:rPr>
            </w:r>
          </w:p>
          <w:p>
            <w:pPr>
              <w:pStyle w:val="Normal"/>
              <w:widowControl w:val="false"/>
              <w:snapToGrid w:val="false"/>
              <w:rPr>
                <w:rFonts w:cs="Times New Roman"/>
                <w:b/>
                <w:b/>
                <w:sz w:val="22"/>
                <w:szCs w:val="22"/>
                <w:lang w:val="fr-FR"/>
              </w:rPr>
            </w:pPr>
            <w:r>
              <w:rPr>
                <w:rFonts w:cs="Times New Roman"/>
                <w:b/>
                <w:sz w:val="22"/>
                <w:szCs w:val="22"/>
                <w:lang w:val="fr-FR"/>
              </w:rPr>
              <w:t xml:space="preserve">Contrôle des connaissances </w:t>
            </w:r>
            <w:r>
              <w:rPr>
                <w:rFonts w:cs="Times New Roman"/>
                <w:b/>
                <w:color w:val="FF0000"/>
                <w:sz w:val="22"/>
                <w:szCs w:val="22"/>
              </w:rPr>
              <w:t>*</w:t>
            </w:r>
          </w:p>
          <w:p>
            <w:pPr>
              <w:pStyle w:val="Normal"/>
              <w:widowControl w:val="false"/>
              <w:snapToGrid w:val="false"/>
              <w:rPr>
                <w:rFonts w:cs="Times New Roman"/>
                <w:bCs/>
                <w:i/>
                <w:i/>
                <w:iCs/>
                <w:sz w:val="22"/>
                <w:szCs w:val="22"/>
                <w:lang w:val="fr-FR"/>
              </w:rPr>
            </w:pPr>
            <w:r>
              <w:rPr>
                <w:rFonts w:cs="Times New Roman"/>
                <w:bCs/>
                <w:i/>
                <w:iCs/>
                <w:sz w:val="22"/>
                <w:szCs w:val="22"/>
                <w:lang w:val="fr-FR"/>
              </w:rPr>
              <w:t>(Sous réserve de modification)</w:t>
            </w:r>
          </w:p>
          <w:p>
            <w:pPr>
              <w:pStyle w:val="Normal"/>
              <w:widowControl w:val="false"/>
              <w:snapToGrid w:val="false"/>
              <w:rPr>
                <w:rFonts w:cs="Times New Roman"/>
                <w:b/>
                <w:b/>
                <w:sz w:val="22"/>
                <w:szCs w:val="22"/>
                <w:lang w:val="fr-FR"/>
              </w:rPr>
            </w:pPr>
            <w:r>
              <w:rPr>
                <w:rFonts w:cs="Times New Roman"/>
                <w:b/>
                <w:sz w:val="22"/>
                <w:szCs w:val="22"/>
                <w:lang w:val="fr-FR"/>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lineRule="auto" w:line="300" w:beforeAutospacing="0" w:before="0" w:afterAutospacing="0" w:after="0"/>
              <w:jc w:val="both"/>
              <w:rPr>
                <w:rFonts w:ascii="Arial" w:hAnsi="Arial" w:cs="Arial"/>
                <w:bCs/>
                <w:sz w:val="22"/>
                <w:szCs w:val="22"/>
              </w:rPr>
            </w:pPr>
            <w:r>
              <w:rPr>
                <w:rFonts w:cs="Arial" w:ascii="Arial" w:hAnsi="Arial"/>
                <w:b/>
                <w:bCs/>
                <w:sz w:val="22"/>
                <w:szCs w:val="22"/>
              </w:rPr>
              <w:t>Contrôle continu</w:t>
            </w:r>
            <w:r>
              <w:rPr>
                <w:rFonts w:cs="Arial" w:ascii="Arial" w:hAnsi="Arial"/>
                <w:bCs/>
                <w:sz w:val="22"/>
                <w:szCs w:val="22"/>
              </w:rPr>
              <w:t> : l’évaluation se fait en TD et sera constituée de la moyenne de trois notes (au minimum) avec des travaux intermédiaires, un exposé ou un commentaire de document et un devoir sur table.</w:t>
            </w:r>
          </w:p>
          <w:p>
            <w:pPr>
              <w:pStyle w:val="NormalWeb"/>
              <w:widowControl w:val="false"/>
              <w:spacing w:lineRule="auto" w:line="300" w:beforeAutospacing="0" w:before="0" w:afterAutospacing="0" w:after="0"/>
              <w:jc w:val="both"/>
              <w:rPr>
                <w:rFonts w:ascii="Arial" w:hAnsi="Arial" w:cs="Arial"/>
                <w:bCs/>
                <w:sz w:val="22"/>
                <w:szCs w:val="22"/>
              </w:rPr>
            </w:pPr>
            <w:r>
              <w:rPr>
                <w:rFonts w:cs="Arial" w:ascii="Arial" w:hAnsi="Arial"/>
                <w:bCs/>
                <w:sz w:val="22"/>
                <w:szCs w:val="22"/>
              </w:rPr>
              <w:tab/>
              <w:t xml:space="preserve">Vous devrez veiller à effectuer </w:t>
            </w:r>
            <w:r>
              <w:rPr>
                <w:rFonts w:cs="Arial" w:ascii="Arial" w:hAnsi="Arial"/>
                <w:b/>
                <w:bCs/>
                <w:sz w:val="22"/>
                <w:szCs w:val="22"/>
              </w:rPr>
              <w:t>les lectures et travaux préparatoires</w:t>
            </w:r>
            <w:r>
              <w:rPr>
                <w:rFonts w:cs="Arial" w:ascii="Arial" w:hAnsi="Arial"/>
                <w:bCs/>
                <w:sz w:val="22"/>
                <w:szCs w:val="22"/>
              </w:rPr>
              <w:t xml:space="preserve"> demandées, à revenir sur vos notes de cours et TD d’une semaine sur l’autre et à approfondir les thèmes abordés à l’aide des références bibliographiques fournies en début d’année. </w:t>
            </w:r>
          </w:p>
          <w:p>
            <w:pPr>
              <w:pStyle w:val="Normal"/>
              <w:widowControl w:val="false"/>
              <w:snapToGrid w:val="false"/>
              <w:rPr>
                <w:rFonts w:cs="Times New Roman"/>
                <w:sz w:val="22"/>
                <w:szCs w:val="22"/>
                <w:lang w:val="fr-FR"/>
              </w:rPr>
            </w:pPr>
            <w:r>
              <w:rPr>
                <w:rFonts w:cs="Times New Roman"/>
                <w:sz w:val="22"/>
                <w:szCs w:val="22"/>
                <w:lang w:val="fr-FR"/>
              </w:rPr>
              <w:t xml:space="preserve">. </w:t>
            </w:r>
          </w:p>
        </w:tc>
      </w:tr>
      <w:tr>
        <w:trPr>
          <w:trHeight w:val="396" w:hRule="atLeast"/>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Bibliographie</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88"/>
              <w:jc w:val="both"/>
              <w:rPr>
                <w:rFonts w:cs="Calibri" w:cstheme="minorHAnsi"/>
                <w:b/>
                <w:b/>
                <w:bCs/>
              </w:rPr>
            </w:pPr>
            <w:r>
              <w:rPr>
                <w:rFonts w:cs="Calibri" w:cstheme="minorHAnsi"/>
                <w:b/>
                <w:bCs/>
              </w:rPr>
              <w:t>Ouvrages généraux et collectifs</w:t>
            </w:r>
          </w:p>
          <w:p>
            <w:pPr>
              <w:pStyle w:val="Normal"/>
              <w:widowControl w:val="false"/>
              <w:spacing w:lineRule="auto" w:line="288"/>
              <w:jc w:val="both"/>
              <w:rPr>
                <w:rFonts w:cs="Calibri" w:cstheme="minorHAnsi"/>
              </w:rPr>
            </w:pPr>
            <w:r>
              <w:rPr>
                <w:rFonts w:cs="Calibri" w:cstheme="minorHAnsi"/>
              </w:rPr>
              <w:t xml:space="preserve">-Stéphane AUDOIN-ROUZEAU et Hélène DUMAS (dir.), « Le génocide des Tutsi rwandais, vingt ans après », </w:t>
            </w:r>
            <w:r>
              <w:rPr>
                <w:rFonts w:cs="Calibri" w:cstheme="minorHAnsi"/>
                <w:i/>
              </w:rPr>
              <w:t>Vingtième siècle. Revue d’histoire</w:t>
            </w:r>
            <w:r>
              <w:rPr>
                <w:rFonts w:cs="Calibri" w:cstheme="minorHAnsi"/>
              </w:rPr>
              <w:t>, n° 122, avril-juin 2014, p. 3-98.</w:t>
            </w:r>
          </w:p>
          <w:p>
            <w:pPr>
              <w:pStyle w:val="Normal"/>
              <w:widowControl w:val="false"/>
              <w:spacing w:lineRule="auto" w:line="288"/>
              <w:jc w:val="both"/>
              <w:rPr>
                <w:rFonts w:cs="Calibri" w:cstheme="minorHAnsi"/>
              </w:rPr>
            </w:pPr>
            <w:r>
              <w:rPr>
                <w:rFonts w:cs="Calibri" w:cstheme="minorHAnsi"/>
              </w:rPr>
              <w:t xml:space="preserve">-Virginie BRINKER, Catherine COQUIO, Alexandre DAUGE-ROTH, Eric HOPPENOT, Nathan RERA, François ROBINET (dir.), </w:t>
            </w:r>
            <w:r>
              <w:rPr>
                <w:rFonts w:cs="Calibri" w:cstheme="minorHAnsi"/>
                <w:i/>
              </w:rPr>
              <w:t>Rwanda 1994-2014. Histoire, mémoires et récits</w:t>
            </w:r>
            <w:r>
              <w:rPr>
                <w:rFonts w:cs="Calibri" w:cstheme="minorHAnsi"/>
              </w:rPr>
              <w:t xml:space="preserve">, Dijon, Les Presses du réel, 2017.  </w:t>
            </w:r>
          </w:p>
          <w:p>
            <w:pPr>
              <w:pStyle w:val="Normal"/>
              <w:widowControl w:val="false"/>
              <w:jc w:val="both"/>
              <w:rPr>
                <w:rFonts w:cs="Calibri" w:cstheme="minorHAnsi"/>
              </w:rPr>
            </w:pPr>
            <w:r>
              <w:rPr>
                <w:rFonts w:cs="Calibri" w:cstheme="minorHAnsi"/>
              </w:rPr>
              <w:t xml:space="preserve">-« Rwanda, quinze ans après. Penser et écrire l’histoire du génocide des Tutsi », </w:t>
            </w:r>
            <w:r>
              <w:rPr>
                <w:rFonts w:cs="Calibri" w:cstheme="minorHAnsi"/>
                <w:i/>
              </w:rPr>
              <w:t>Revue d’histoire de la Shoah</w:t>
            </w:r>
            <w:r>
              <w:rPr>
                <w:rFonts w:cs="Calibri" w:cstheme="minorHAnsi"/>
              </w:rPr>
              <w:t xml:space="preserve">, n° 190, janvier/juin 2009, 512 p. </w:t>
            </w:r>
          </w:p>
          <w:p>
            <w:pPr>
              <w:pStyle w:val="Normal"/>
              <w:widowControl w:val="false"/>
              <w:spacing w:lineRule="auto" w:line="288"/>
              <w:jc w:val="both"/>
              <w:rPr>
                <w:rFonts w:cs="Calibri" w:cstheme="minorHAnsi"/>
              </w:rPr>
            </w:pPr>
            <w:r>
              <w:rPr>
                <w:rFonts w:cs="Calibri" w:cstheme="minorHAnsi"/>
              </w:rPr>
              <w:t xml:space="preserve">-Florent PITON, </w:t>
            </w:r>
            <w:r>
              <w:rPr>
                <w:rFonts w:cs="Calibri" w:cstheme="minorHAnsi"/>
                <w:i/>
                <w:iCs/>
              </w:rPr>
              <w:t>Le Génocide des Tutsi du Rwanda</w:t>
            </w:r>
            <w:r>
              <w:rPr>
                <w:rFonts w:cs="Calibri" w:cstheme="minorHAnsi"/>
              </w:rPr>
              <w:t xml:space="preserve">, Paris La Découverte, coll. Grands Repères, 2018. </w:t>
            </w:r>
          </w:p>
          <w:p>
            <w:pPr>
              <w:pStyle w:val="Normal"/>
              <w:widowControl w:val="false"/>
              <w:spacing w:lineRule="auto" w:line="288"/>
              <w:jc w:val="both"/>
              <w:rPr>
                <w:rFonts w:cs="Calibri" w:cstheme="minorHAnsi"/>
              </w:rPr>
            </w:pPr>
            <w:r>
              <w:rPr>
                <w:rFonts w:cs="Calibri" w:cstheme="minorHAnsi"/>
              </w:rPr>
            </w:r>
          </w:p>
          <w:p>
            <w:pPr>
              <w:pStyle w:val="Normal"/>
              <w:widowControl w:val="false"/>
              <w:spacing w:lineRule="auto" w:line="288"/>
              <w:jc w:val="both"/>
              <w:rPr>
                <w:rFonts w:cs="Calibri" w:cstheme="minorHAnsi"/>
              </w:rPr>
            </w:pPr>
            <w:r>
              <w:rPr>
                <w:rFonts w:cs="Calibri" w:cstheme="minorHAnsi"/>
              </w:rPr>
              <w:t>Bibliographie et filmographie seront fournies aux étudiantes et étudiants qui seront inscrits à ce cours.</w:t>
            </w:r>
          </w:p>
          <w:p>
            <w:pPr>
              <w:pStyle w:val="Normal"/>
              <w:widowControl w:val="false"/>
              <w:rPr>
                <w:rFonts w:cs="Times New Roman"/>
                <w:sz w:val="22"/>
                <w:szCs w:val="22"/>
              </w:rPr>
            </w:pPr>
            <w:r>
              <w:rPr>
                <w:rFonts w:cs="Times New Roman"/>
                <w:sz w:val="22"/>
                <w:szCs w:val="22"/>
              </w:rPr>
            </w:r>
          </w:p>
        </w:tc>
      </w:tr>
      <w:tr>
        <w:trPr>
          <w:trHeight w:val="396" w:hRule="atLeast"/>
        </w:trPr>
        <w:tc>
          <w:tcPr>
            <w:tcW w:w="370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cs="Times New Roman"/>
                <w:b/>
                <w:b/>
                <w:sz w:val="22"/>
                <w:szCs w:val="22"/>
              </w:rPr>
            </w:pPr>
            <w:r>
              <w:rPr>
                <w:rFonts w:cs="Times New Roman"/>
                <w:b/>
                <w:sz w:val="22"/>
                <w:szCs w:val="22"/>
              </w:rPr>
            </w:r>
          </w:p>
          <w:p>
            <w:pPr>
              <w:pStyle w:val="Normal"/>
              <w:widowControl w:val="false"/>
              <w:snapToGrid w:val="false"/>
              <w:rPr>
                <w:rFonts w:cs="Times New Roman"/>
                <w:b/>
                <w:b/>
                <w:sz w:val="22"/>
                <w:szCs w:val="22"/>
              </w:rPr>
            </w:pPr>
            <w:r>
              <w:rPr>
                <w:rFonts w:cs="Times New Roman"/>
                <w:b/>
                <w:sz w:val="22"/>
                <w:szCs w:val="22"/>
              </w:rPr>
              <w:t>Informations complémentaires</w:t>
            </w:r>
          </w:p>
          <w:p>
            <w:pPr>
              <w:pStyle w:val="Normal"/>
              <w:widowControl w:val="false"/>
              <w:snapToGrid w:val="false"/>
              <w:rPr>
                <w:rFonts w:cs="Times New Roman"/>
                <w:b/>
                <w:b/>
                <w:sz w:val="22"/>
                <w:szCs w:val="22"/>
              </w:rPr>
            </w:pPr>
            <w:r>
              <w:rPr>
                <w:rFonts w:cs="Times New Roman"/>
                <w:b/>
                <w:sz w:val="22"/>
                <w:szCs w:val="22"/>
              </w:rPr>
            </w:r>
          </w:p>
        </w:tc>
        <w:tc>
          <w:tcPr>
            <w:tcW w:w="5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cs="Times New Roman"/>
                <w:sz w:val="22"/>
                <w:szCs w:val="22"/>
              </w:rPr>
            </w:pPr>
            <w:r>
              <w:rPr>
                <w:rFonts w:cs="Times New Roman"/>
                <w:sz w:val="22"/>
                <w:szCs w:val="22"/>
              </w:rPr>
            </w:r>
          </w:p>
        </w:tc>
      </w:tr>
    </w:tbl>
    <w:p>
      <w:pPr>
        <w:pStyle w:val="Normal"/>
        <w:rPr>
          <w:rFonts w:cs="Times New Roman"/>
          <w:b/>
          <w:b/>
          <w:bCs/>
          <w:color w:val="333399"/>
          <w:sz w:val="28"/>
          <w:szCs w:val="28"/>
          <w:lang w:val="fr-FR"/>
        </w:rPr>
      </w:pPr>
      <w:r>
        <w:rPr>
          <w:rFonts w:cs="Times New Roman"/>
          <w:b/>
          <w:bCs/>
          <w:color w:val="333399"/>
          <w:sz w:val="28"/>
          <w:szCs w:val="28"/>
          <w:lang w:val="fr-FR"/>
        </w:rPr>
        <w:t>FICHE UE</w:t>
      </w:r>
    </w:p>
    <w:p>
      <w:pPr>
        <w:pStyle w:val="Normal"/>
        <w:rPr>
          <w:i/>
          <w:i/>
          <w:iCs/>
        </w:rPr>
      </w:pPr>
      <w:r>
        <w:rPr>
          <w:i/>
          <w:iCs/>
        </w:rPr>
      </w:r>
    </w:p>
    <w:p>
      <w:pPr>
        <w:pStyle w:val="Normal"/>
        <w:rPr>
          <w:i/>
          <w:i/>
          <w:iCs/>
        </w:rPr>
      </w:pPr>
      <w:r>
        <w:rPr>
          <w:b/>
          <w:bCs/>
          <w:i/>
          <w:iCs/>
          <w:color w:val="FF0000"/>
        </w:rPr>
        <w:t>*</w:t>
      </w:r>
      <w:r>
        <w:rPr>
          <w:i/>
          <w:iCs/>
        </w:rPr>
        <w:t>A remplir obligatoirement</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6" wp14:anchorId="152C538D">
              <wp:simplePos x="0" y="0"/>
              <wp:positionH relativeFrom="margin">
                <wp:align>center</wp:align>
              </wp:positionH>
              <wp:positionV relativeFrom="page">
                <wp:align>bottom</wp:align>
              </wp:positionV>
              <wp:extent cx="5760720" cy="728345"/>
              <wp:effectExtent l="0" t="0" r="4445" b="0"/>
              <wp:wrapNone/>
              <wp:docPr id="1" name="Rectangle 451"/>
              <a:graphic xmlns:a="http://schemas.openxmlformats.org/drawingml/2006/main">
                <a:graphicData uri="http://schemas.microsoft.com/office/word/2010/wordprocessingShape">
                  <wps:wsp>
                    <wps:cNvSpPr/>
                    <wps:spPr>
                      <a:xfrm>
                        <a:off x="0" y="0"/>
                        <a:ext cx="5760000" cy="727560"/>
                      </a:xfrm>
                      <a:prstGeom prst="rect">
                        <a:avLst/>
                      </a:prstGeom>
                      <a:noFill/>
                      <a:ln w="0">
                        <a:noFill/>
                      </a:ln>
                    </wps:spPr>
                    <wps:style>
                      <a:lnRef idx="0"/>
                      <a:fillRef idx="0"/>
                      <a:effectRef idx="0"/>
                      <a:fontRef idx="minor"/>
                    </wps:style>
                    <wps:txbx>
                      <w:txbxContent>
                        <w:p>
                          <w:pPr>
                            <w:pStyle w:val="Contenudecadre"/>
                            <w:jc w:val="right"/>
                            <w:rPr/>
                          </w:pPr>
                          <w:sdt>
                            <w:sdtPr>
                              <w:date w:fullDate="2021-05-12T00:00:00Z">
                                <w:dateFormat w:val="dd MMMM yyyy"/>
                                <w:lid w:val="fr-FR"/>
                                <w:storeMappedDataAs w:val="dateTime"/>
                                <w:calendar w:val="gregorian"/>
                              </w:date>
                            </w:sdtPr>
                            <w:sdtContent>
                              <w:r>
                                <w:rPr>
                                  <w:lang w:val="fr-FR"/>
                                </w:rPr>
                              </w:r>
                              <w:r>
                                <w:rPr>
                                  <w:lang w:val="fr-FR"/>
                                </w:rPr>
                                <w:t>12 mai 2021</w:t>
                              </w:r>
                              <w:r>
                                <w:rPr>
                                  <w:lang w:val="fr-FR"/>
                                </w:rPr>
                              </w:r>
                            </w:sdtContent>
                          </w:sdt>
                        </w:p>
                      </w:txbxContent>
                    </wps:txbx>
                    <wps:bodyPr tIns="0" upright="1">
                      <a:noAutofit/>
                    </wps:bodyPr>
                  </wps:wsp>
                </a:graphicData>
              </a:graphic>
              <wp14:sizeRelH relativeFrom="margin">
                <wp14:pctWidth>100000</wp14:pctWidth>
              </wp14:sizeRelH>
              <wp14:sizeRelV relativeFrom="bottomMargin">
                <wp14:pctHeight>81000</wp14:pctHeight>
              </wp14:sizeRelV>
            </wp:anchor>
          </w:drawing>
        </mc:Choice>
        <mc:Fallback>
          <w:pict>
            <v:rect id="shape_0" ID="Rectangle 451" path="m0,0l-2147483645,0l-2147483645,-2147483646l0,-2147483646xe" stroked="f" style="position:absolute;margin-left:0pt;margin-top:784.55pt;width:453.5pt;height:57.25pt;mso-wrap-style:square;v-text-anchor:top;mso-position-horizontal:center;mso-position-horizontal-relative:margin;mso-position-vertical:bottom;mso-position-vertical-relative:page" wp14:anchorId="152C538D">
              <v:fill o:detectmouseclick="t" on="false"/>
              <v:stroke color="#3465a4" joinstyle="round" endcap="flat"/>
              <v:textbox>
                <w:txbxContent>
                  <w:p>
                    <w:pPr>
                      <w:pStyle w:val="Contenudecadre"/>
                      <w:jc w:val="right"/>
                      <w:rPr/>
                    </w:pPr>
                    <w:sdt>
                      <w:sdtPr>
                        <w:date w:fullDate="2021-05-12T00:00:00Z">
                          <w:dateFormat w:val="dd MMMM yyyy"/>
                          <w:lid w:val="fr-FR"/>
                          <w:storeMappedDataAs w:val="dateTime"/>
                          <w:calendar w:val="gregorian"/>
                        </w:date>
                      </w:sdtPr>
                      <w:sdtContent>
                        <w:r>
                          <w:rPr>
                            <w:lang w:val="fr-FR"/>
                          </w:rPr>
                        </w:r>
                        <w:r>
                          <w:rPr>
                            <w:lang w:val="fr-FR"/>
                          </w:rPr>
                          <w:t>12 mai 2021</w:t>
                        </w:r>
                        <w:r>
                          <w:rPr>
                            <w:lang w:val="fr-FR"/>
                          </w:rPr>
                        </w:r>
                      </w:sdtContent>
                    </w:sdt>
                  </w:p>
                </w:txbxContent>
              </v:textbox>
              <w10:wrap type="none"/>
            </v:rect>
          </w:pict>
        </mc:Fallback>
      </mc:AlternateContent>
      <mc:AlternateContent>
        <mc:Choice Requires="wpg">
          <w:drawing>
            <wp:anchor behindDoc="1" distT="7620" distB="7620" distL="7620" distR="7620" simplePos="0" locked="0" layoutInCell="0" allowOverlap="1" relativeHeight="9" wp14:anchorId="799A9AFE">
              <wp:simplePos x="0" y="0"/>
              <wp:positionH relativeFrom="rightMargin">
                <wp:align>left</wp:align>
              </wp:positionH>
              <wp:positionV relativeFrom="page">
                <wp:align>bottom</wp:align>
              </wp:positionV>
              <wp:extent cx="73660" cy="699770"/>
              <wp:effectExtent l="0" t="0" r="22225" b="10795"/>
              <wp:wrapNone/>
              <wp:docPr id="3" name="Groupe 223"/>
              <a:graphic xmlns:a="http://schemas.openxmlformats.org/drawingml/2006/main">
                <a:graphicData uri="http://schemas.microsoft.com/office/word/2010/wordprocessingGroup">
                  <wpg:wgp>
                    <wpg:cNvGrpSpPr/>
                    <wpg:grpSpPr>
                      <a:xfrm>
                        <a:off x="0" y="0"/>
                        <a:ext cx="73080" cy="699120"/>
                        <a:chOff x="0" y="9981720"/>
                        <a:chExt cx="73080" cy="699120"/>
                      </a:xfrm>
                    </wpg:grpSpPr>
                    <wps:wsp>
                      <wps:cNvSpPr/>
                      <wps:spPr>
                        <a:xfrm>
                          <a:off x="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3672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s:wsp>
                      <wps:cNvSpPr/>
                      <wps:spPr>
                        <a:xfrm>
                          <a:off x="72360" y="0"/>
                          <a:ext cx="720" cy="699120"/>
                        </a:xfrm>
                        <a:custGeom>
                          <a:avLst/>
                          <a:gdLst/>
                          <a:ahLst/>
                          <a:rect l="l" t="t" r="r" b="b"/>
                          <a:pathLst>
                            <a:path w="21600" h="21600">
                              <a:moveTo>
                                <a:pt x="0" y="0"/>
                              </a:moveTo>
                              <a:lnTo>
                                <a:pt x="21600" y="21600"/>
                              </a:lnTo>
                            </a:path>
                          </a:pathLst>
                        </a:custGeom>
                        <a:noFill/>
                        <a:ln w="15875">
                          <a:solidFill>
                            <a:srgbClr val="70ad47">
                              <a:lumMod val="60000"/>
                              <a:lumOff val="40000"/>
                            </a:srgbClr>
                          </a:solidFill>
                          <a:round/>
                        </a:ln>
                      </wps:spPr>
                      <wps:style>
                        <a:lnRef idx="0"/>
                        <a:fillRef idx="0"/>
                        <a:effectRef idx="0"/>
                        <a:fontRef idx="minor"/>
                      </wps:style>
                      <wps:bodyPr/>
                    </wps:wsp>
                  </wpg:wgp>
                </a:graphicData>
              </a:graphic>
              <wp14:sizeRelV relativeFrom="bottomMargin">
                <wp14:pctHeight>78000</wp14:pctHeight>
              </wp14:sizeRelV>
            </wp:anchor>
          </w:drawing>
        </mc:Choice>
        <mc:Fallback>
          <w:pict>
            <v:group id="shape_0" alt="Groupe 223" style="position:absolute;margin-left:0pt;margin-top:785.95pt;width:5.75pt;height:55.05pt" coordorigin="0,15719" coordsize="115,1101">
              <v:shapetype id="shapetype_32" coordsize="21600,21600" o:spt="32" path="m,l21600,21600nfe">
                <v:stroke joinstyle="miter"/>
                <v:path gradientshapeok="t" o:connecttype="rect" textboxrect="0,0,21600,21600"/>
              </v:shapetype>
              <v:shape id="shape_0" ID="Forme automatique 2" stroked="t" style="position:absolute;left:0;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w10:wrap type="none"/>
              </v:shape>
              <v:shape id="shape_0" ID="Forme automatique 3" stroked="t" style="position:absolute;left:58;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shape id="shape_0" ID="Forme automatique 4" stroked="t" style="position:absolute;left:114;top:15719;width:0;height:1100;mso-wrap-style:none;v-text-anchor:middle;mso-position-horizontal:left;mso-position-horizontal-relative:page;mso-position-vertical:bottom;mso-position-vertical-relative:page" type="shapetype_32">
                <v:fill o:detectmouseclick="t" on="false"/>
                <v:stroke color="#a9d18e" weight="15840" joinstyle="round" endcap="flat"/>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3491"/>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val="en-US" w:eastAsia="hi-IN" w:bidi="hi-IN"/>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d5523"/>
    <w:rPr>
      <w:rFonts w:ascii="Times New Roman" w:hAnsi="Times New Roman" w:eastAsia="SimSun" w:cs="Mangal"/>
      <w:kern w:val="2"/>
      <w:sz w:val="24"/>
      <w:szCs w:val="21"/>
      <w:lang w:val="en-US" w:eastAsia="hi-IN" w:bidi="hi-IN"/>
    </w:rPr>
  </w:style>
  <w:style w:type="character" w:styleId="PieddepageCar" w:customStyle="1">
    <w:name w:val="Pied de page Car"/>
    <w:basedOn w:val="DefaultParagraphFont"/>
    <w:link w:val="Pieddepage"/>
    <w:uiPriority w:val="99"/>
    <w:qFormat/>
    <w:rsid w:val="004d5523"/>
    <w:rPr>
      <w:rFonts w:ascii="Times New Roman" w:hAnsi="Times New Roman" w:eastAsia="SimSun" w:cs="Mangal"/>
      <w:kern w:val="2"/>
      <w:sz w:val="24"/>
      <w:szCs w:val="21"/>
      <w:lang w:val="en-US" w:eastAsia="hi-IN" w:bidi="hi-IN"/>
    </w:rPr>
  </w:style>
  <w:style w:type="character" w:styleId="Resnav" w:customStyle="1">
    <w:name w:val="resnav"/>
    <w:basedOn w:val="DefaultParagraphFont"/>
    <w:qFormat/>
    <w:rsid w:val="00a52a80"/>
    <w:rPr/>
  </w:style>
  <w:style w:type="character" w:styleId="LienInternet">
    <w:name w:val="Lien Internet"/>
    <w:basedOn w:val="DefaultParagraphFont"/>
    <w:uiPriority w:val="99"/>
    <w:unhideWhenUsed/>
    <w:rsid w:val="00a52a80"/>
    <w:rPr>
      <w:color w:val="0563C1" w:themeColor="hyperlink"/>
      <w:u w:val="single"/>
    </w:rPr>
  </w:style>
  <w:style w:type="character" w:styleId="UnresolvedMention">
    <w:name w:val="Unresolved Mention"/>
    <w:basedOn w:val="DefaultParagraphFont"/>
    <w:uiPriority w:val="99"/>
    <w:semiHidden/>
    <w:unhideWhenUsed/>
    <w:qFormat/>
    <w:rsid w:val="00a52a80"/>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a21cf"/>
    <w:pPr>
      <w:spacing w:before="0" w:after="0"/>
      <w:ind w:left="720" w:hanging="0"/>
      <w:contextualSpacing/>
    </w:pPr>
    <w:rPr>
      <w:szCs w:val="21"/>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d5523"/>
    <w:pPr>
      <w:tabs>
        <w:tab w:val="clear" w:pos="708"/>
        <w:tab w:val="center" w:pos="4536" w:leader="none"/>
        <w:tab w:val="right" w:pos="9072" w:leader="none"/>
      </w:tabs>
    </w:pPr>
    <w:rPr>
      <w:szCs w:val="21"/>
    </w:rPr>
  </w:style>
  <w:style w:type="paragraph" w:styleId="Pieddepage">
    <w:name w:val="Footer"/>
    <w:basedOn w:val="Normal"/>
    <w:link w:val="PieddepageCar"/>
    <w:uiPriority w:val="99"/>
    <w:unhideWhenUsed/>
    <w:rsid w:val="004d5523"/>
    <w:pPr>
      <w:tabs>
        <w:tab w:val="clear" w:pos="708"/>
        <w:tab w:val="center" w:pos="4536" w:leader="none"/>
        <w:tab w:val="right" w:pos="9072" w:leader="none"/>
      </w:tabs>
    </w:pPr>
    <w:rPr>
      <w:szCs w:val="21"/>
    </w:rPr>
  </w:style>
  <w:style w:type="paragraph" w:styleId="NormalWeb">
    <w:name w:val="Normal (Web)"/>
    <w:basedOn w:val="Normal"/>
    <w:qFormat/>
    <w:rsid w:val="000a59c0"/>
    <w:pPr>
      <w:widowControl/>
      <w:suppressAutoHyphens w:val="false"/>
      <w:spacing w:beforeAutospacing="1" w:afterAutospacing="1"/>
    </w:pPr>
    <w:rPr>
      <w:rFonts w:eastAsia="Times New Roman" w:cs="Times New Roman"/>
      <w:kern w:val="0"/>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ancois.robinet2@uvsq.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LibreOffice/7.1.4.2$Windows_X86_64 LibreOffice_project/a529a4fab45b75fefc5b6226684193eb000654f6</Application>
  <AppVersion>15.0000</AppVersion>
  <Pages>3</Pages>
  <Words>655</Words>
  <Characters>3726</Characters>
  <CharactersWithSpaces>4351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2021-09-03T08:18:00Z</dcterms:created>
  <dc:creator>carole mendy</dc:creator>
  <dc:description/>
  <dc:language>fr-FR</dc:language>
  <cp:lastModifiedBy/>
  <dcterms:modified xsi:type="dcterms:W3CDTF">2021-09-06T08:18:23Z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